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bCs/>
          <w:kern w:val="0"/>
          <w:sz w:val="40"/>
          <w:szCs w:val="44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kern w:val="0"/>
          <w:sz w:val="40"/>
          <w:szCs w:val="44"/>
        </w:rPr>
        <w:t>中华人民共和国大铲湾海关对</w:t>
      </w:r>
      <w:r>
        <w:rPr>
          <w:rFonts w:ascii="Times New Roman" w:eastAsia="方正小标宋_GBK" w:cs="Times New Roman" w:hAnsi="Times New Roman" w:hint="eastAsia"/>
          <w:bCs/>
          <w:kern w:val="0"/>
          <w:sz w:val="40"/>
          <w:szCs w:val="44"/>
        </w:rPr>
        <w:t>新疆前海进出口集团有限公司</w:t>
      </w:r>
      <w:r>
        <w:rPr>
          <w:rFonts w:ascii="Times New Roman" w:eastAsia="方正小标宋_GBK" w:cs="Times New Roman" w:hAnsi="Times New Roman"/>
          <w:bCs/>
          <w:kern w:val="0"/>
          <w:sz w:val="40"/>
          <w:szCs w:val="44"/>
        </w:rPr>
        <w:t>行政处罚结果公示</w:t>
      </w:r>
    </w:p>
    <w:tbl>
      <w:tblPr>
        <w:jc w:val="left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37"/>
        <w:gridCol w:w="2321"/>
        <w:gridCol w:w="5103"/>
      </w:tblGrid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行政处罚决定书文号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深铲关知罚字﹝2025﹞00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17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号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2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行政处罚相对人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新疆前海进出口集团有限公司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3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0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0"/>
              </w:rPr>
              <w:t>统一社会信用代码</w:t>
            </w:r>
          </w:p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0"/>
              </w:rPr>
              <w:t>/海关代码</w:t>
            </w:r>
          </w:p>
        </w:tc>
        <w:tc>
          <w:tcPr>
            <w:tcW w:w="5103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91653101745249708M /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6507919061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4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法定代表人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安晓良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5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作出处罚决定的海关</w:t>
            </w:r>
          </w:p>
        </w:tc>
        <w:tc>
          <w:tcPr>
            <w:tcW w:w="510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大铲湾海关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6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作出行政处罚的日期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2025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9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3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日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违法事实和理由</w:t>
            </w:r>
          </w:p>
        </w:tc>
        <w:tc>
          <w:tcPr>
            <w:tcW w:w="7424" w:type="dxa"/>
            <w:gridSpan w:val="2"/>
          </w:tcPr>
          <w:p>
            <w:pPr>
              <w:pStyle w:val="18"/>
              <w:wordWrap w:val="0"/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2025年6月17日，当事人委托深圳市创未来国际货运代理有限公司以跨境电商B2B直接出口方式向海关申报出口女式上衣等货物一批到泰国，报关单号：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534820250480035811</w:t>
            </w: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。大铲湾海关经查验，发现该批出口货物中有带有“LACOSTE鳄鱼（图形）”标识的包包94个，带有“Longchamp LGP图形标”标识的包包120个，带有“VICTORIA'S SECRET”标识的包包50个，带有“大嘴猴及图形”标识的上衣3612件、短裙81条、裤子372条、连衣裙303条、衣服套装202套，带有“POLO”标识的上衣1153件，带有“cK”标识的上衣103件，带有“Vivienne Westwood及图形”标识的裙子140条、上衣588件，带有“PATAGONIA”标识的包包30个。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我关经调查认为，当事人出口货物上使用的商标，与商标权人注册商标相同，且事先未经商标权人许可，根据《中华人民共和国商标法》第五十七条第一项的规定，属于侵犯他人商标专用权的货物。当事人的行为已构成出口侵犯他人商标专用权货物的行为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执法依据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《中华人民共和国海关法》第九十一条、《中华人民共和国海关行政处罚实施条例》第二十五条第一款及《中华人民共和国海关行政处罚裁量基准（三）》（公告〔2023〕198 号）第十一条第二项</w:t>
            </w:r>
            <w:r>
              <w:rPr>
                <w:rFonts w:eastAsia="方正仿宋_GBK"/>
                <w:sz w:val="32"/>
              </w:rPr>
              <w:t>、第十三条第二项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之规定。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处罚内容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包括处罚类别及结果：</w:t>
            </w:r>
          </w:p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没收上述侵权货物，并处罚款人民币2974元。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救济渠道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当事人不服本处罚决定的，依照《中华人民共和国行政复议法》第二十条、第二十七条，《中华人民共和国行政诉讼法》第四十六条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其他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</w:tr>
    </w:tbl>
    <w:p>
      <w:pPr>
        <w:jc w:val="left"/>
        <w:rPr>
          <w:rFonts w:ascii="Times New Roman" w:eastAsia="方正仿宋_GBK" w:cs="Times New Roman" w:hAnsi="Times New Roman"/>
          <w:color w:val="FF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70">
    <w:name w:val="Body Text Indent"/>
    <w:basedOn w:val="0"/>
    <w:pPr>
      <w:spacing w:line="600" w:lineRule="exact"/>
      <w:ind w:firstLineChars="225" w:firstLine="225"/>
    </w:pPr>
    <w:rPr>
      <w:rFonts w:ascii="方正仿宋_GBK" w:eastAsia="方正仿宋_GBK" w:cs="Times New Roman"/>
      <w:color w:val="000000"/>
      <w:sz w:val="32"/>
      <w:szCs w:val="20"/>
    </w:rPr>
  </w:style>
  <w:style w:type="character" w:customStyle="1" w:styleId="71">
    <w:name w:val="labelstyle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</TotalTime>
  <Application>Yozo_Office</Application>
  <Pages>2</Pages>
  <Words>760</Words>
  <Characters>908</Characters>
  <Lines>65</Lines>
  <Paragraphs>36</Paragraphs>
  <CharactersWithSpaces>914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李思远</cp:lastModifiedBy>
  <cp:revision>16</cp:revision>
  <dcterms:created xsi:type="dcterms:W3CDTF">2025-06-17T02:57:00Z</dcterms:created>
  <dcterms:modified xsi:type="dcterms:W3CDTF">2025-09-18T05:33:51Z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