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9"/>
        <w:spacing w:line="580" w:lineRule="exact"/>
        <w:rPr>
          <w:rFonts w:ascii="方正黑体_GBK" w:eastAsia="方正黑体_GBK" w:cs="方正小标宋_GBK"/>
          <w:szCs w:val="32"/>
        </w:rPr>
      </w:pPr>
      <w:bookmarkStart w:id="0" w:name="_Hlk25540369"/>
      <w:bookmarkStart w:id="1" w:name="cogw__正文__file"/>
    </w:p>
    <w:p>
      <w:pPr>
        <w:pStyle w:val="39"/>
        <w:jc w:val="center"/>
        <w:rPr>
          <w:rFonts w:ascii="楷体_GB2312" w:eastAsia="楷体_GB2312" w:cs="楷体_GB2312"/>
          <w:bCs/>
          <w:szCs w:val="32"/>
          <w:shd w:val="clear" w:color="auto" w:fill="FFFFFF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同乐海关2025年政府信息公开工作年度报告</w:t>
      </w:r>
      <w:bookmarkEnd w:id="0"/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pStyle w:val="256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Arial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2025</w:t>
      </w:r>
      <w:r>
        <w:rPr>
          <w:rFonts w:ascii="方正仿宋_GBK" w:eastAsia="方正仿宋_GBK" w:cs="Arial" w:hint="eastAsia"/>
          <w:sz w:val="32"/>
          <w:szCs w:val="32"/>
        </w:rPr>
        <w:t>年，同乐海关坚持用习近平新时代中国特色社会主义思想凝心铸魂，进一步深入贯彻落实《中华人民共和国政府信息公开条例》（以下简称《条例》），严格执行</w:t>
      </w:r>
      <w:r>
        <w:rPr>
          <w:rFonts w:ascii="Times New Roman" w:eastAsia="方正仿宋_GBK" w:cs="Arial" w:hAnsi="Times New Roman" w:hint="eastAsia"/>
          <w:sz w:val="32"/>
          <w:szCs w:val="32"/>
        </w:rPr>
        <w:t>海关政务公开有关要求</w:t>
      </w:r>
      <w:r>
        <w:rPr>
          <w:rFonts w:ascii="方正仿宋_GBK" w:eastAsia="方正仿宋_GBK" w:cs="Arial" w:hint="eastAsia"/>
          <w:sz w:val="32"/>
          <w:szCs w:val="32"/>
        </w:rPr>
        <w:t>，以公开促落实、促规范、促服务，为经济社会高质量发展营造更加透明、更加优良的政务环境。</w:t>
      </w:r>
      <w:r>
        <w:rPr>
          <w:rFonts w:ascii="Times New Roman" w:eastAsia="方正仿宋_GBK" w:cs="Arial" w:hAnsi="Times New Roman" w:hint="eastAsia"/>
          <w:sz w:val="32"/>
          <w:szCs w:val="32"/>
        </w:rPr>
        <w:t>主要工作情况如下：</w:t>
      </w:r>
    </w:p>
    <w:p>
      <w:pPr>
        <w:pStyle w:val="29"/>
        <w:adjustRightInd w:val="0"/>
        <w:snapToGrid w:val="0"/>
        <w:spacing w:line="560" w:lineRule="exact"/>
        <w:ind w:firstLineChars="200" w:firstLine="624"/>
        <w:rPr>
          <w:rFonts w:ascii="方正仿宋_GBK" w:eastAsia="方正仿宋_GBK" w:cs="Arial"/>
          <w:sz w:val="32"/>
          <w:szCs w:val="32"/>
        </w:rPr>
      </w:pPr>
      <w:r>
        <w:rPr>
          <w:rFonts w:ascii="Times New Roman" w:eastAsia="方正楷体_GBK" w:cs="Arial" w:hAnsi="Times New Roman" w:hint="eastAsia"/>
          <w:b/>
          <w:bCs/>
          <w:spacing w:val="-4"/>
          <w:sz w:val="32"/>
          <w:szCs w:val="28"/>
        </w:rPr>
        <w:t>（一）</w:t>
      </w:r>
      <w:r>
        <w:rPr>
          <w:rFonts w:ascii="Times New Roman" w:eastAsia="方正楷体_GBK" w:cs="Arial" w:hAnsi="Times New Roman"/>
          <w:b/>
          <w:bCs/>
          <w:spacing w:val="-4"/>
          <w:sz w:val="32"/>
          <w:szCs w:val="28"/>
        </w:rPr>
        <w:t>强化制度学习，夯实工作根基</w:t>
      </w:r>
      <w:r>
        <w:rPr>
          <w:rFonts w:ascii="Times New Roman" w:eastAsia="方正楷体_GBK" w:cs="Arial" w:hAnsi="Times New Roman" w:hint="eastAsia"/>
          <w:b/>
          <w:bCs/>
          <w:spacing w:val="-4"/>
          <w:sz w:val="32"/>
          <w:szCs w:val="28"/>
        </w:rPr>
        <w:t>。</w:t>
      </w:r>
      <w:r>
        <w:rPr>
          <w:rFonts w:ascii="方正仿宋_GBK" w:eastAsia="方正仿宋_GBK" w:cs="Arial" w:hint="eastAsia"/>
          <w:bCs/>
          <w:spacing w:val="-4"/>
          <w:sz w:val="32"/>
          <w:szCs w:val="28"/>
        </w:rPr>
        <w:t>将新时代政务公开工作要求、</w:t>
      </w:r>
      <w:r>
        <w:rPr>
          <w:rFonts w:ascii="方正仿宋_GBK" w:eastAsia="方正仿宋_GBK" w:cs="Arial" w:hint="eastAsia"/>
          <w:sz w:val="32"/>
          <w:szCs w:val="32"/>
        </w:rPr>
        <w:t>《条例》</w:t>
      </w:r>
      <w:r>
        <w:rPr>
          <w:rFonts w:ascii="方正仿宋_GBK" w:eastAsia="方正仿宋_GBK" w:cs="Arial" w:hint="eastAsia"/>
          <w:bCs/>
          <w:spacing w:val="-4"/>
          <w:sz w:val="32"/>
          <w:szCs w:val="28"/>
        </w:rPr>
        <w:t>及相关制度规范纳入常态化学训体系，提升工作人员专业素养与依法公开能力，从源头上保障公开工作的规范性、准确性</w:t>
      </w:r>
      <w:r>
        <w:rPr>
          <w:rFonts w:ascii="方正仿宋_GBK" w:eastAsia="方正仿宋_GBK" w:cs="Arial" w:hint="eastAsia"/>
          <w:spacing w:val="-4"/>
          <w:sz w:val="32"/>
          <w:szCs w:val="28"/>
        </w:rPr>
        <w:t>；</w:t>
      </w:r>
      <w:r>
        <w:rPr>
          <w:rFonts w:ascii="Times New Roman" w:eastAsia="方正仿宋_GBK" w:cs="Arial" w:hAnsi="Times New Roman" w:hint="eastAsia"/>
          <w:sz w:val="32"/>
          <w:szCs w:val="32"/>
        </w:rPr>
        <w:t>定期向深圳海关办公室备案分管政府信息公开工作的关、科领导人员变动情况，</w:t>
      </w:r>
      <w:r>
        <w:rPr>
          <w:rFonts w:eastAsia="方正仿宋_GBK" w:hint="eastAsia"/>
          <w:sz w:val="32"/>
          <w:szCs w:val="32"/>
        </w:rPr>
        <w:t>优化政务公开专区，核查并确保公示要素完整齐全，完成基层政务公开标准化规范化</w:t>
      </w:r>
      <w:r>
        <w:rPr>
          <w:rFonts w:eastAsia="方正仿宋_GBK"/>
          <w:sz w:val="32"/>
          <w:szCs w:val="32"/>
        </w:rPr>
        <w:t>各项</w:t>
      </w:r>
      <w:r>
        <w:rPr>
          <w:rFonts w:eastAsia="方正仿宋_GBK" w:hint="eastAsia"/>
          <w:sz w:val="32"/>
          <w:szCs w:val="32"/>
        </w:rPr>
        <w:t>工作</w:t>
      </w:r>
      <w:r>
        <w:rPr>
          <w:rFonts w:eastAsia="方正仿宋_GBK"/>
          <w:sz w:val="32"/>
          <w:szCs w:val="32"/>
        </w:rPr>
        <w:t>，厚值工作根基。</w:t>
      </w:r>
    </w:p>
    <w:p>
      <w:pPr>
        <w:pStyle w:val="29"/>
        <w:adjustRightInd w:val="0"/>
        <w:snapToGrid w:val="0"/>
        <w:spacing w:line="560" w:lineRule="exact"/>
        <w:ind w:firstLineChars="200" w:firstLine="624"/>
        <w:rPr>
          <w:rFonts w:ascii="方正仿宋_GBK" w:eastAsia="方正仿宋_GBK" w:cs="Arial"/>
          <w:sz w:val="32"/>
          <w:szCs w:val="32"/>
        </w:rPr>
      </w:pPr>
      <w:r>
        <w:rPr>
          <w:rFonts w:ascii="Times New Roman" w:eastAsia="方正楷体_GBK" w:cs="Arial" w:hAnsi="Times New Roman" w:hint="eastAsia"/>
          <w:b/>
          <w:bCs/>
          <w:spacing w:val="-4"/>
          <w:sz w:val="32"/>
          <w:szCs w:val="28"/>
        </w:rPr>
        <w:t>（</w:t>
      </w:r>
      <w:r>
        <w:rPr>
          <w:rFonts w:ascii="Times New Roman" w:eastAsia="方正楷体_GBK" w:cs="Arial" w:hAnsi="Times New Roman"/>
          <w:b/>
          <w:bCs/>
          <w:spacing w:val="-4"/>
          <w:sz w:val="32"/>
          <w:szCs w:val="28"/>
        </w:rPr>
        <w:t>二</w:t>
      </w:r>
      <w:r>
        <w:rPr>
          <w:rFonts w:ascii="Times New Roman" w:eastAsia="方正楷体_GBK" w:cs="Arial" w:hAnsi="Times New Roman" w:hint="eastAsia"/>
          <w:b/>
          <w:bCs/>
          <w:spacing w:val="-4"/>
          <w:sz w:val="32"/>
          <w:szCs w:val="28"/>
        </w:rPr>
        <w:t>）严守安全关口，筑牢基础防线。</w:t>
      </w:r>
      <w:r>
        <w:rPr>
          <w:rFonts w:ascii="方正仿宋_GBK" w:eastAsia="方正仿宋_GBK" w:cs="Arial" w:hint="eastAsia"/>
          <w:sz w:val="32"/>
          <w:szCs w:val="32"/>
        </w:rPr>
        <w:t>聚焦主动公开信息管理与安全防护，严格遵循法定时限要求，确保信息生成或变更后及时发布，保持信息的鲜活度和有效性；严格落实政府信息公开前的保密审查制度，着力提质增效，确保公开内容“看得懂、用得上”。</w:t>
      </w:r>
      <w:r>
        <w:rPr>
          <w:rFonts w:ascii="Times New Roman" w:eastAsia="方正仿宋_GBK" w:hAnsi="Times New Roman"/>
          <w:sz w:val="32"/>
          <w:szCs w:val="32"/>
        </w:rPr>
        <w:t>本年度主动公开政府信息32条，其中公示关长接待日有关事项的通知12条，行政处罚决定书8条，核查执法结果3条，属地查检执法4条，</w:t>
      </w:r>
      <w:r>
        <w:rPr>
          <w:rStyle w:val="74"/>
          <w:rFonts w:ascii="方正仿宋_GBK" w:eastAsia="方正仿宋_GBK" w:hint="eastAsia"/>
          <w:color w:val="auto"/>
          <w:sz w:val="32"/>
          <w:szCs w:val="32"/>
          <w:u w:val="none"/>
        </w:rPr>
        <w:t>行政执法检查随机抽查事项清单</w:t>
      </w:r>
      <w:r>
        <w:rPr>
          <w:rStyle w:val="74"/>
          <w:rFonts w:ascii="Times New Roman" w:eastAsia="方正仿宋_GBK" w:hAnsi="Times New Roman"/>
          <w:color w:val="auto"/>
          <w:sz w:val="32"/>
          <w:szCs w:val="32"/>
          <w:u w:val="none"/>
        </w:rPr>
        <w:t>1</w:t>
      </w:r>
      <w:r>
        <w:rPr>
          <w:rStyle w:val="74"/>
          <w:rFonts w:ascii="方正仿宋_GBK" w:eastAsia="方正仿宋_GBK" w:hint="eastAsia"/>
          <w:color w:val="auto"/>
          <w:sz w:val="32"/>
          <w:szCs w:val="32"/>
          <w:u w:val="none"/>
        </w:rPr>
        <w:t>条，</w:t>
      </w:r>
      <w:r>
        <w:rPr>
          <w:rFonts w:ascii="Times New Roman" w:eastAsia="方正仿宋_GBK" w:hAnsi="Times New Roman"/>
          <w:sz w:val="32"/>
          <w:szCs w:val="32"/>
        </w:rPr>
        <w:t>同乐海关2024年度部门决算1条，同乐海关2025年部门预算1条，同乐海关2024年政府信息公开年报1条，同乐海关2024年度行政执法统计年报1条。2025年，我关收到1条政府信息公开的申请。</w:t>
      </w:r>
    </w:p>
    <w:p>
      <w:pPr>
        <w:pStyle w:val="29"/>
        <w:adjustRightInd w:val="0"/>
        <w:snapToGrid w:val="0"/>
        <w:spacing w:line="560" w:lineRule="exact"/>
        <w:ind w:firstLineChars="200" w:firstLine="624"/>
        <w:rPr>
          <w:rFonts w:ascii="Times New Roman" w:eastAsia="方正仿宋_GBK" w:cs="Arial" w:hAnsi="Times New Roman"/>
          <w:sz w:val="32"/>
          <w:szCs w:val="32"/>
        </w:rPr>
      </w:pPr>
      <w:r>
        <w:rPr>
          <w:rFonts w:ascii="Times New Roman" w:eastAsia="方正楷体_GBK" w:cs="Arial" w:hAnsi="Times New Roman" w:hint="eastAsia"/>
          <w:b/>
          <w:bCs/>
          <w:spacing w:val="-4"/>
          <w:sz w:val="32"/>
          <w:szCs w:val="28"/>
        </w:rPr>
        <w:t>（三）深化政策解读，提升互动实效。</w:t>
      </w:r>
      <w:r>
        <w:rPr>
          <w:rFonts w:ascii="方正仿宋_GBK" w:eastAsia="方正仿宋_GBK" w:cs="Arial" w:hint="eastAsia"/>
          <w:sz w:val="32"/>
          <w:szCs w:val="32"/>
        </w:rPr>
        <w:t>围绕政策精准传达与公众关切回应，丰富解读形式、拓展互动渠道，推动政策信号清晰释放、社会反馈及时回应，增强政府公信力与透明度</w:t>
      </w:r>
      <w:r>
        <w:rPr>
          <w:rFonts w:ascii="Times New Roman" w:eastAsia="方正仿宋_GBK" w:cs="Arial" w:hAnsi="Times New Roman" w:hint="eastAsia"/>
          <w:sz w:val="32"/>
          <w:szCs w:val="32"/>
        </w:rPr>
        <w:t>。高</w:t>
      </w:r>
      <w:r>
        <w:rPr>
          <w:rFonts w:ascii="Times New Roman" w:eastAsia="方正仿宋_GBK" w:cs="Arial" w:hAnsi="Times New Roman"/>
          <w:sz w:val="32"/>
          <w:szCs w:val="32"/>
        </w:rPr>
        <w:t>效</w:t>
      </w:r>
      <w:r>
        <w:rPr>
          <w:rFonts w:ascii="Times New Roman" w:eastAsia="方正仿宋_GBK" w:cs="Arial" w:hAnsi="Times New Roman" w:hint="eastAsia"/>
          <w:sz w:val="32"/>
          <w:szCs w:val="32"/>
        </w:rPr>
        <w:t>做好对外咨询热线服务工作，接听、解答企业问题</w:t>
      </w:r>
      <w:r>
        <w:rPr>
          <w:rFonts w:ascii="Times New Roman" w:eastAsia="方正仿宋_GBK" w:cs="Arial" w:hAnsi="Times New Roman"/>
          <w:sz w:val="32"/>
          <w:szCs w:val="32"/>
        </w:rPr>
        <w:t>1500</w:t>
      </w:r>
      <w:r>
        <w:rPr>
          <w:rFonts w:ascii="Times New Roman" w:eastAsia="方正仿宋_GBK" w:cs="Arial" w:hAnsi="Times New Roman" w:hint="eastAsia"/>
          <w:sz w:val="32"/>
          <w:szCs w:val="32"/>
        </w:rPr>
        <w:t>余次，为企业群众答疑解惑。</w:t>
      </w:r>
      <w:r>
        <w:rPr>
          <w:rFonts w:ascii="Times New Roman" w:eastAsia="方正仿宋_GBK" w:cs="Arial" w:hAnsi="Times New Roman"/>
          <w:sz w:val="32"/>
          <w:szCs w:val="32"/>
        </w:rPr>
        <w:t>开展</w:t>
      </w:r>
      <w:r>
        <w:rPr>
          <w:rFonts w:ascii="Times New Roman" w:eastAsia="方正仿宋_GBK" w:cs="Arial" w:hAnsi="Times New Roman" w:hint="eastAsia"/>
          <w:sz w:val="32"/>
          <w:szCs w:val="32"/>
        </w:rPr>
        <w:t>“三进”普法、政策宣贯20场，覆盖600余家次企业。用好中国海关信用管理平台，为辖区“新三样”等200余家企业提供政策解读、流程引导。成立“枫语同舟”枫桥经验工作室，“关企政”微信群全天候服务3000余家外贸企业，节假日安排备勤人员做好通关保障，做到执法尺度、速度、态度统一，解决企业问题200余个。</w:t>
      </w:r>
    </w:p>
    <w:p>
      <w:pPr>
        <w:pStyle w:val="33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66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3</w:t>
            </w:r>
            <w:bookmarkStart w:id="2" w:name="_GoBack"/>
            <w:bookmarkEnd w:id="2"/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1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6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7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9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1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2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3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41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（一）2024年年报中所提问题整改情况。</w:t>
      </w:r>
      <w:r>
        <w:rPr>
          <w:rFonts w:hint="eastAsia"/>
        </w:rPr>
        <w:t>对于202</w:t>
      </w:r>
      <w:r>
        <w:t>4</w:t>
      </w:r>
      <w:r>
        <w:rPr>
          <w:rFonts w:hint="eastAsia"/>
        </w:rPr>
        <w:t>年工作中关于“</w:t>
      </w:r>
      <w:r>
        <w:t>辖区企业类型多，行业覆盖面广，开展海关政策宣贯的精准度不高，渠道不够完善，需进一步针对企业特点和需求开展政策宣传和解读</w:t>
      </w:r>
      <w:r>
        <w:rPr>
          <w:rFonts w:hint="eastAsia"/>
        </w:rPr>
        <w:t>”等问题，我关积极改进，</w:t>
      </w:r>
      <w:r>
        <w:rPr>
          <w:szCs w:val="2"/>
        </w:rPr>
        <w:t>组织开展民法典主题宣传、</w:t>
      </w:r>
      <w:r>
        <w:rPr>
          <w:rFonts w:hint="eastAsia"/>
          <w:szCs w:val="2"/>
        </w:rPr>
        <w:t>“</w:t>
      </w:r>
      <w:r>
        <w:rPr>
          <w:szCs w:val="2"/>
        </w:rPr>
        <w:t>8.8</w:t>
      </w:r>
      <w:r>
        <w:rPr>
          <w:rFonts w:hint="eastAsia"/>
          <w:szCs w:val="2"/>
        </w:rPr>
        <w:t>”海关法治宣传日</w:t>
      </w:r>
      <w:r>
        <w:rPr>
          <w:szCs w:val="2"/>
        </w:rPr>
        <w:t>、</w:t>
      </w:r>
      <w:r>
        <w:rPr>
          <w:rFonts w:hint="eastAsia"/>
          <w:szCs w:val="2"/>
        </w:rPr>
        <w:t>“</w:t>
      </w:r>
      <w:r>
        <w:rPr>
          <w:szCs w:val="2"/>
        </w:rPr>
        <w:t>12.4</w:t>
      </w:r>
      <w:r>
        <w:rPr>
          <w:rFonts w:hint="eastAsia"/>
          <w:szCs w:val="2"/>
        </w:rPr>
        <w:t>”</w:t>
      </w:r>
      <w:r>
        <w:rPr>
          <w:szCs w:val="2"/>
        </w:rPr>
        <w:t>国家宪法宣传日等主题活动；组织召开线下专题宣讲会10场，宣讲海关惠企政策，共惠及企业450余家；</w:t>
      </w:r>
      <w:r>
        <w:rPr>
          <w:rFonts w:cs="Arial" w:hint="eastAsia"/>
          <w:szCs w:val="32"/>
        </w:rPr>
        <w:t>“关企政”微信群全天候服务3000余家外贸企业</w:t>
      </w:r>
      <w:r>
        <w:rPr>
          <w:rFonts w:cs="Arial"/>
          <w:szCs w:val="32"/>
        </w:rPr>
        <w:t>，</w:t>
      </w:r>
      <w:r>
        <w:rPr>
          <w:rFonts w:cs="Arial" w:hint="eastAsia"/>
          <w:szCs w:val="32"/>
        </w:rPr>
        <w:t>做好对外咨询热线服务工作，接听、解答企业问题</w:t>
      </w:r>
      <w:r>
        <w:rPr>
          <w:rFonts w:cs="Arial"/>
          <w:szCs w:val="32"/>
        </w:rPr>
        <w:t>1500</w:t>
      </w:r>
      <w:r>
        <w:rPr>
          <w:rFonts w:cs="Arial" w:hint="eastAsia"/>
          <w:szCs w:val="32"/>
        </w:rPr>
        <w:t>余次，为企业群众答疑解惑。</w:t>
      </w:r>
    </w:p>
    <w:p>
      <w:pPr>
        <w:pStyle w:val="41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t>政务公开岗位的专业性要求高，而人员调整后的工作交接与培训跟进若不及时，可能存在应公开事项未公开、公开内容不规范或超期公开的风险。</w:t>
      </w:r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16"/>
        <w:tabs>
          <w:tab w:val="center" w:pos="4153"/>
          <w:tab w:val="right" w:pos="8306"/>
        </w:tabs>
        <w:spacing w:line="560" w:lineRule="exact"/>
        <w:rPr>
          <w:spacing w:val="-4"/>
          <w:sz w:val="32"/>
          <w:szCs w:val="20"/>
        </w:rPr>
      </w:pPr>
      <w:r>
        <w:rPr>
          <w:rFonts w:hint="eastAsia"/>
          <w:spacing w:val="-4"/>
          <w:sz w:val="32"/>
          <w:szCs w:val="20"/>
        </w:rPr>
        <w:t xml:space="preserve">    本关今年内未收取信息公开处理费，无其他需要报告的事项。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- 5 -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- 6 -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6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styleId="51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Balloon Text"/>
    <w:basedOn w:val="0"/>
    <w:rPr>
      <w:sz w:val="18"/>
      <w:szCs w:val="18"/>
    </w:rPr>
  </w:style>
  <w:style w:type="paragraph" w:styleId="69">
    <w:name w:val="table of authorities"/>
    <w:basedOn w:val="0"/>
    <w:next w:val="0"/>
    <w:pPr>
      <w:ind w:left="420"/>
    </w:pPr>
  </w:style>
  <w:style w:type="paragraph" w:styleId="70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71">
    <w:name w:val="样式 41 三号"/>
    <w:next w:val="3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72">
    <w:name w:val="样式 18 三号"/>
    <w:next w:val="7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73">
    <w:name w:val="样式 17 三号"/>
    <w:next w:val="6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character" w:styleId="74">
    <w:name w:val="Hyperlink"/>
    <w:rPr>
      <w:color w:val="0000FF"/>
      <w:u w:val="single"/>
    </w:rPr>
  </w:style>
  <w:style w:type="paragraph" w:customStyle="1" w:styleId="75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1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9">
    <w:name w:val="样式 1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0">
    <w:name w:val="样式 1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1">
    <w:name w:val="样式 1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2">
    <w:name w:val="样式 1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3">
    <w:name w:val="样式 1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4">
    <w:name w:val="样式 1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5">
    <w:name w:val="样式 1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6">
    <w:name w:val="样式 1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7">
    <w:name w:val="样式 1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8">
    <w:name w:val="样式 1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9">
    <w:name w:val="样式 1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0">
    <w:name w:val="样式 1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1">
    <w:name w:val="样式 1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2">
    <w:name w:val="样式 1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3">
    <w:name w:val="样式 1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4">
    <w:name w:val="样式 4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55">
    <w:name w:val="样式 5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56">
    <w:name w:val="样式 7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57">
    <w:name w:val="样式 8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58">
    <w:name w:val="样式 9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59">
    <w:name w:val="样式 10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60">
    <w:name w:val="List Paragraph"/>
    <w:next w:val="70"/>
    <w:pPr>
      <w:widowControl w:val="0"/>
      <w:ind w:firstLineChars="200" w:firstLine="20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1">
    <w:name w:val="样式 11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62">
    <w:name w:val="样式 12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63">
    <w:name w:val="样式 1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4">
    <w:name w:val="样式 14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65">
    <w:name w:val="样式 1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66">
    <w:name w:val="样式 1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67">
    <w:name w:val="样式 1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68">
    <w:name w:val="样式 15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69">
    <w:name w:val="样式 16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70">
    <w:name w:val="样式 17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271">
    <w:name w:val="样式 18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128</TotalTime>
  <Application>Yozo_Office</Application>
  <Pages>6</Pages>
  <Words>2126</Words>
  <Characters>2203</Characters>
  <Lines>417</Lines>
  <Paragraphs>301</Paragraphs>
  <CharactersWithSpaces>2207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唐代婷</cp:lastModifiedBy>
  <cp:revision>5</cp:revision>
  <cp:lastPrinted>2026-01-08T07:32:00Z</cp:lastPrinted>
  <dcterms:created xsi:type="dcterms:W3CDTF">2024-01-07T04:41:00Z</dcterms:created>
  <dcterms:modified xsi:type="dcterms:W3CDTF">2026-01-13T02:23:05Z</dcterms:modified>
</cp:coreProperties>
</file>