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39"/>
        <w:spacing w:line="580" w:lineRule="exact"/>
        <w:rPr>
          <w:rFonts w:ascii="方正黑体_GBK" w:eastAsia="方正黑体_GBK" w:cs="方正小标宋_GBK" w:hint="eastAsia"/>
          <w:szCs w:val="32"/>
        </w:rPr>
      </w:pPr>
      <w:bookmarkStart w:id="0" w:name="_Hlk25540369"/>
      <w:bookmarkStart w:id="1" w:name="cogw__正文__file"/>
      <w:r>
        <w:rPr>
          <w:rFonts w:ascii="方正小标宋_GBK" w:eastAsia="方正小标宋_GBK" w:cs="方正小标宋_GBK" w:hint="eastAsia"/>
          <w:sz w:val="44"/>
          <w:szCs w:val="44"/>
        </w:rPr>
        <w:t>深圳湾海关2023年政府信息公开工作年度报告</w:t>
      </w:r>
      <w:bookmarkEnd w:id="0"/>
    </w:p>
    <w:p>
      <w:pPr>
        <w:pStyle w:val="25"/>
        <w:widowControl/>
        <w:shd w:val="clear" w:color="auto" w:fill="FFFFFF"/>
        <w:adjustRightInd w:val="0"/>
        <w:snapToGrid w:val="0"/>
        <w:spacing w:beforeAutospacing="0" w:afterAutospacing="0" w:line="560" w:lineRule="exact"/>
        <w:jc w:val="both"/>
        <w:rPr>
          <w:rFonts w:ascii="楷体_GB2312" w:eastAsia="楷体_GB2312" w:cs="楷体_GB2312" w:hint="eastAsia"/>
          <w:bCs/>
          <w:sz w:val="32"/>
          <w:szCs w:val="32"/>
          <w:shd w:val="clear" w:color="auto" w:fill="FFFFFF"/>
        </w:rPr>
      </w:pPr>
    </w:p>
    <w:p>
      <w:pPr>
        <w:adjustRightInd w:val="0"/>
        <w:snapToGrid w:val="0"/>
        <w:spacing w:line="560" w:lineRule="exact"/>
        <w:ind w:firstLineChars="200" w:firstLine="640"/>
        <w:rPr>
          <w:rFonts w:ascii="方正黑体_GBK" w:eastAsia="方正黑体_GBK" w:hint="eastAsia"/>
        </w:rPr>
      </w:pPr>
      <w:r>
        <w:rPr>
          <w:rFonts w:ascii="方正黑体_GBK" w:eastAsia="方正黑体_GBK" w:hint="eastAsia"/>
        </w:rPr>
        <w:t>一、总体情况</w:t>
      </w:r>
    </w:p>
    <w:p>
      <w:pPr>
        <w:adjustRightInd w:val="0"/>
        <w:snapToGrid w:val="0"/>
        <w:spacing w:line="560" w:lineRule="exact"/>
        <w:ind w:firstLineChars="200" w:firstLine="640"/>
      </w:pPr>
      <w:r>
        <w:t>202</w:t>
      </w:r>
      <w:r>
        <w:rPr>
          <w:rFonts w:hint="eastAsia"/>
        </w:rPr>
        <w:t>3年度，深圳湾海关以习近平新时代中国特色社会主义思想为指导，以习总书记给红其拉甫海关全体关员的重要回信为鼓舞，认真对照海关政务公开工作要点，严抓《政府信息公开条例》落实。现将相关情况报告如下：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int="eastAsia"/>
          <w:b/>
        </w:rPr>
      </w:pPr>
      <w:r>
        <w:rPr>
          <w:rFonts w:ascii="方正楷体_GBK" w:eastAsia="方正楷体_GBK" w:hint="eastAsia"/>
          <w:b/>
        </w:rPr>
        <w:t>（一）政府信息公开情况。</w:t>
      </w:r>
    </w:p>
    <w:p>
      <w:pPr>
        <w:adjustRightInd w:val="0"/>
        <w:snapToGrid w:val="0"/>
        <w:spacing w:line="560" w:lineRule="exact"/>
        <w:ind w:firstLineChars="200" w:firstLine="640"/>
        <w:rPr>
          <w:rFonts w:hint="eastAsia"/>
        </w:rPr>
      </w:pPr>
      <w:r>
        <w:rPr>
          <w:rFonts w:hint="eastAsia"/>
          <w:b/>
        </w:rPr>
        <w:t>主动公开方面：</w:t>
      </w:r>
      <w:r>
        <w:rPr>
          <w:rFonts w:hint="eastAsia"/>
        </w:rPr>
        <w:t>本年度</w:t>
      </w:r>
      <w:r>
        <w:t>共</w:t>
      </w:r>
      <w:r>
        <w:rPr>
          <w:rFonts w:hint="eastAsia"/>
        </w:rPr>
        <w:t>作出行政处罚决定3742件，其中走私违规类3508件，侵犯知识产权类107件，检验检疫类127件，已依法对其中具有一定社会影响的处罚决定挂网公开；公开海关监管作业场所（场地）检查结果43次；公开</w:t>
      </w:r>
      <w:r>
        <w:t>202</w:t>
      </w:r>
      <w:r>
        <w:rPr>
          <w:rFonts w:hint="eastAsia"/>
        </w:rPr>
        <w:t>2年决算、</w:t>
      </w:r>
      <w:r>
        <w:t>202</w:t>
      </w:r>
      <w:r>
        <w:rPr>
          <w:rFonts w:hint="eastAsia"/>
        </w:rPr>
        <w:t>3年预算等财政信息。</w:t>
      </w:r>
    </w:p>
    <w:p>
      <w:pPr>
        <w:adjustRightInd w:val="0"/>
        <w:snapToGrid w:val="0"/>
        <w:spacing w:line="560" w:lineRule="exact"/>
        <w:ind w:firstLineChars="200" w:firstLine="640"/>
      </w:pPr>
      <w:r>
        <w:rPr>
          <w:rFonts w:hint="eastAsia"/>
          <w:b/>
        </w:rPr>
        <w:t>依申请公开方面：</w:t>
      </w:r>
      <w:r>
        <w:rPr>
          <w:rFonts w:hint="eastAsia"/>
        </w:rPr>
        <w:t>本年度</w:t>
      </w:r>
      <w:r>
        <w:t>共</w:t>
      </w:r>
      <w:r>
        <w:rPr>
          <w:rFonts w:hint="eastAsia"/>
        </w:rPr>
        <w:t>办理政府信息公开申请</w:t>
      </w:r>
      <w:r>
        <w:t>3</w:t>
      </w:r>
      <w:r>
        <w:rPr>
          <w:rFonts w:hint="eastAsia"/>
        </w:rPr>
        <w:t>宗</w:t>
      </w:r>
      <w:r>
        <w:t>，</w:t>
      </w:r>
      <w:r>
        <w:rPr>
          <w:rFonts w:hint="eastAsia"/>
        </w:rPr>
        <w:t>均以申请人撤回申请办结。本年度无涉及政府信息公开的行政复议及行政诉讼。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int="eastAsia"/>
          <w:b/>
        </w:rPr>
      </w:pPr>
      <w:r>
        <w:rPr>
          <w:rFonts w:ascii="方正楷体_GBK" w:eastAsia="方正楷体_GBK" w:hint="eastAsia"/>
          <w:b/>
        </w:rPr>
        <w:t>（二）信息公开机制完善方面。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int="eastAsia"/>
          <w:b/>
        </w:rPr>
      </w:pPr>
      <w:r>
        <w:rPr>
          <w:rFonts w:ascii="方正仿宋_GBK" w:cs="Arial" w:hint="eastAsia"/>
          <w:szCs w:val="32"/>
        </w:rPr>
        <w:t>按照总署、总关进一步推进基层政务公开标准化规范化工作的要求，对深圳湾海关政府信息公开项目进行梳理，编制《</w:t>
      </w:r>
      <w:r>
        <w:rPr>
          <w:rFonts w:hint="eastAsia"/>
        </w:rPr>
        <w:t>深圳</w:t>
      </w:r>
      <w:r>
        <w:rPr>
          <w:rFonts w:ascii="方正仿宋_GBK" w:cs="Arial" w:hint="eastAsia"/>
          <w:szCs w:val="32"/>
        </w:rPr>
        <w:t>湾海关政务公开事项目录》，对外公开本关</w:t>
      </w:r>
      <w:r>
        <w:rPr>
          <w:szCs w:val="32"/>
        </w:rPr>
        <w:t>7个一级公开事项、22个二级公开事项，严格对照开展工作及接</w:t>
      </w:r>
      <w:r>
        <w:rPr>
          <w:rFonts w:ascii="方正仿宋_GBK" w:cs="Arial" w:hint="eastAsia"/>
          <w:szCs w:val="32"/>
        </w:rPr>
        <w:t>受群众监督。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int="eastAsia"/>
          <w:b/>
        </w:rPr>
      </w:pPr>
      <w:r>
        <w:rPr>
          <w:rFonts w:ascii="方正楷体_GBK" w:eastAsia="方正楷体_GBK" w:hint="eastAsia"/>
          <w:b/>
        </w:rPr>
        <w:t>（三）软硬件设施完善方面。</w:t>
      </w:r>
    </w:p>
    <w:p>
      <w:pPr>
        <w:pStyle w:val="29"/>
        <w:adjustRightInd w:val="0"/>
        <w:snapToGrid w:val="0"/>
        <w:spacing w:line="560" w:lineRule="exact"/>
        <w:ind w:firstLineChars="200" w:firstLine="640"/>
        <w:jc w:val="both"/>
        <w:rPr>
          <w:rFonts w:ascii="方正仿宋_GBK" w:eastAsia="方正仿宋_GBK" w:cs="Arial" w:hint="eastAsia"/>
          <w:sz w:val="32"/>
          <w:szCs w:val="32"/>
        </w:rPr>
      </w:pPr>
      <w:r>
        <w:rPr>
          <w:rFonts w:ascii="方正仿宋_GBK" w:eastAsia="方正仿宋_GBK" w:cs="Arial" w:hint="eastAsia"/>
          <w:sz w:val="32"/>
          <w:szCs w:val="32"/>
        </w:rPr>
        <w:t>配合完善深圳海关官网信息公开版块中的隶属海关版块，完善设置机构职能、办事机构等</w:t>
      </w:r>
      <w:r>
        <w:rPr>
          <w:rFonts w:ascii="Times New Roman" w:eastAsia="方正仿宋_GBK" w:hAnsi="Times New Roman"/>
          <w:sz w:val="32"/>
          <w:szCs w:val="32"/>
        </w:rPr>
        <w:t>11</w:t>
      </w:r>
      <w:r>
        <w:rPr>
          <w:rFonts w:ascii="方正仿宋_GBK" w:eastAsia="方正仿宋_GBK" w:cs="Arial" w:hint="eastAsia"/>
          <w:sz w:val="32"/>
          <w:szCs w:val="32"/>
        </w:rPr>
        <w:t>个信息公开项目，对照《深圳湾海关政务公开事项目录》及时公开相关事项信息；实地完善口岸信息公开设施，在现场查验场所、报关大厅等实时公布和更新当值关员信息，接受群众监督；及时在海关公告栏更新海关最新监管政策文件，供办事人员查阅等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int="eastAsia"/>
          <w:b/>
        </w:rPr>
      </w:pPr>
      <w:r>
        <w:rPr>
          <w:rFonts w:ascii="方正楷体_GBK" w:eastAsia="方正楷体_GBK" w:hint="eastAsia"/>
          <w:b/>
        </w:rPr>
        <w:t>（三）政务服务方面。</w:t>
      </w:r>
    </w:p>
    <w:p>
      <w:pPr>
        <w:pStyle w:val="29"/>
        <w:adjustRightInd w:val="0"/>
        <w:snapToGrid w:val="0"/>
        <w:spacing w:line="560" w:lineRule="exact"/>
        <w:ind w:firstLineChars="200" w:firstLine="640"/>
        <w:jc w:val="both"/>
        <w:rPr>
          <w:rFonts w:ascii="方正仿宋_GBK" w:eastAsia="方正仿宋_GBK" w:cs="Arial" w:hint="eastAsia"/>
          <w:sz w:val="32"/>
          <w:szCs w:val="32"/>
        </w:rPr>
      </w:pPr>
      <w:r>
        <w:rPr>
          <w:rFonts w:ascii="方正仿宋_GBK" w:eastAsia="方正仿宋_GBK" w:cs="Arial" w:hint="eastAsia"/>
          <w:sz w:val="32"/>
          <w:szCs w:val="32"/>
        </w:rPr>
        <w:t>继续主动发挥咨询投诉热线的信息公开桥梁作用，进一步完善《深圳湾海关咨询热线接处管理规定》，规范热线电话对咨询类、协调类、投诉类及其他类等共四大类事项的分类处置和信息答复流程，提高工作效率和热线服务水平。特别是在疫情管控年初“转段”，年末“优化阶段”等重要节点，做好相关海关管理政策的咨询答复，配合保障良好通关秩序。</w:t>
      </w:r>
      <w:r>
        <w:rPr>
          <w:rFonts w:ascii="Times New Roman" w:eastAsia="方正仿宋_GBK" w:cs="楷体_GB2312" w:hAnsi="Times New Roman" w:hint="eastAsia"/>
          <w:kern w:val="0"/>
          <w:sz w:val="32"/>
          <w:szCs w:val="32"/>
          <w:shd w:val="clear" w:color="auto" w:fill="FFFFFF"/>
        </w:rPr>
        <w:t>本年度</w:t>
      </w:r>
      <w:r>
        <w:rPr>
          <w:rFonts w:ascii="Times New Roman" w:eastAsia="方正仿宋_GBK" w:cs="楷体_GB2312" w:hAnsi="Times New Roman"/>
          <w:kern w:val="0"/>
          <w:sz w:val="32"/>
          <w:szCs w:val="32"/>
          <w:shd w:val="clear" w:color="auto" w:fill="FFFFFF"/>
        </w:rPr>
        <w:t>我关</w:t>
      </w:r>
      <w:r>
        <w:rPr>
          <w:rFonts w:ascii="Times New Roman" w:eastAsia="方正仿宋_GBK" w:cs="楷体_GB2312" w:hAnsi="Times New Roman" w:hint="eastAsia"/>
          <w:kern w:val="0"/>
          <w:sz w:val="32"/>
          <w:szCs w:val="32"/>
          <w:shd w:val="clear" w:color="auto" w:fill="FFFFFF"/>
        </w:rPr>
        <w:t>通过</w:t>
      </w:r>
      <w:r>
        <w:rPr>
          <w:rFonts w:ascii="Times New Roman" w:eastAsia="方正仿宋_GBK" w:cs="楷体_GB2312" w:hAnsi="Times New Roman"/>
          <w:kern w:val="0"/>
          <w:sz w:val="32"/>
          <w:szCs w:val="32"/>
          <w:shd w:val="clear" w:color="auto" w:fill="FFFFFF"/>
        </w:rPr>
        <w:t>服务</w:t>
      </w:r>
      <w:r>
        <w:rPr>
          <w:rFonts w:ascii="Times New Roman" w:eastAsia="方正仿宋_GBK" w:cs="楷体_GB2312" w:hAnsi="Times New Roman" w:hint="eastAsia"/>
          <w:kern w:val="0"/>
          <w:sz w:val="32"/>
          <w:szCs w:val="32"/>
          <w:shd w:val="clear" w:color="auto" w:fill="FFFFFF"/>
        </w:rPr>
        <w:t>热线</w:t>
      </w:r>
      <w:r>
        <w:rPr>
          <w:rFonts w:ascii="Times New Roman" w:eastAsia="方正仿宋_GBK" w:cs="楷体_GB2312" w:hAnsi="Times New Roman"/>
          <w:kern w:val="0"/>
          <w:sz w:val="32"/>
          <w:szCs w:val="32"/>
          <w:shd w:val="clear" w:color="auto" w:fill="FFFFFF"/>
        </w:rPr>
        <w:t>共</w:t>
      </w:r>
      <w:r>
        <w:rPr>
          <w:rFonts w:ascii="Times New Roman" w:eastAsia="方正仿宋_GBK" w:cs="楷体_GB2312" w:hAnsi="Times New Roman" w:hint="eastAsia"/>
          <w:kern w:val="0"/>
          <w:sz w:val="32"/>
          <w:szCs w:val="32"/>
          <w:shd w:val="clear" w:color="auto" w:fill="FFFFFF"/>
        </w:rPr>
        <w:t>接处群众及企业咨询6900余宗。</w:t>
      </w:r>
    </w:p>
    <w:p>
      <w:pPr>
        <w:adjustRightInd w:val="0"/>
        <w:snapToGrid w:val="0"/>
        <w:spacing w:line="560" w:lineRule="exact"/>
        <w:ind w:firstLineChars="200" w:firstLine="640"/>
        <w:rPr>
          <w:rFonts w:ascii="方正楷体_GBK" w:eastAsia="方正楷体_GBK" w:hint="eastAsia"/>
          <w:b/>
        </w:rPr>
      </w:pPr>
      <w:r>
        <w:rPr>
          <w:rFonts w:ascii="方正楷体_GBK" w:eastAsia="方正楷体_GBK" w:hint="eastAsia"/>
          <w:b/>
        </w:rPr>
        <w:t>（四）政策宣传方面。</w:t>
      </w:r>
    </w:p>
    <w:p>
      <w:pPr>
        <w:adjustRightInd w:val="0"/>
        <w:snapToGrid w:val="0"/>
        <w:spacing w:line="560" w:lineRule="exact"/>
        <w:ind w:firstLineChars="200" w:firstLine="640"/>
        <w:rPr>
          <w:rFonts w:cs="楷体_GB2312" w:hint="eastAsia"/>
          <w:kern w:val="0"/>
          <w:szCs w:val="32"/>
          <w:shd w:val="clear" w:color="auto" w:fill="FFFFFF"/>
        </w:rPr>
      </w:pPr>
      <w:r>
        <w:rPr>
          <w:szCs w:val="32"/>
        </w:rPr>
        <w:t>紧扣</w:t>
      </w:r>
      <w:r>
        <w:rPr>
          <w:rFonts w:hint="eastAsia"/>
          <w:szCs w:val="32"/>
        </w:rPr>
        <w:t>“</w:t>
      </w:r>
      <w:r>
        <w:rPr>
          <w:szCs w:val="32"/>
        </w:rPr>
        <w:t>4.26</w:t>
      </w:r>
      <w:r>
        <w:rPr>
          <w:rFonts w:hint="eastAsia"/>
          <w:szCs w:val="32"/>
        </w:rPr>
        <w:t>”“8.8”“12.4”</w:t>
      </w:r>
      <w:r>
        <w:rPr>
          <w:szCs w:val="32"/>
        </w:rPr>
        <w:t>等重要时间节点，开展形式多样的普法宣传活动。聚焦群众关切，打造“3+”普法模式，深入学校、社区、企业开展“讲法治、讲政策、讲案例”</w:t>
      </w:r>
      <w:r>
        <w:rPr>
          <w:rFonts w:hint="eastAsia"/>
          <w:szCs w:val="32"/>
        </w:rPr>
        <w:t>等4次</w:t>
      </w:r>
      <w:r>
        <w:rPr>
          <w:szCs w:val="32"/>
        </w:rPr>
        <w:t>；拓展线上普法，</w:t>
      </w:r>
      <w:r>
        <w:rPr>
          <w:rFonts w:hint="eastAsia"/>
          <w:szCs w:val="32"/>
        </w:rPr>
        <w:t>通过内部培训、现场宣讲、网络推送</w:t>
      </w:r>
      <w:r>
        <w:rPr>
          <w:szCs w:val="32"/>
        </w:rPr>
        <w:t>全覆盖</w:t>
      </w:r>
      <w:r>
        <w:rPr>
          <w:rFonts w:hint="eastAsia"/>
          <w:szCs w:val="32"/>
        </w:rPr>
        <w:t>等方式，</w:t>
      </w:r>
      <w:r>
        <w:rPr>
          <w:szCs w:val="32"/>
        </w:rPr>
        <w:t>落实</w:t>
      </w:r>
      <w:r>
        <w:rPr>
          <w:rFonts w:hint="eastAsia"/>
          <w:szCs w:val="32"/>
        </w:rPr>
        <w:t>“</w:t>
      </w:r>
      <w:r>
        <w:rPr>
          <w:szCs w:val="32"/>
        </w:rPr>
        <w:t>谁执法谁普法</w:t>
      </w:r>
      <w:r>
        <w:rPr>
          <w:rFonts w:hint="eastAsia"/>
          <w:szCs w:val="32"/>
        </w:rPr>
        <w:t>”</w:t>
      </w:r>
      <w:r>
        <w:rPr>
          <w:szCs w:val="32"/>
        </w:rPr>
        <w:t>。</w:t>
      </w:r>
      <w:r>
        <w:rPr>
          <w:rFonts w:hint="eastAsia"/>
          <w:szCs w:val="32"/>
        </w:rPr>
        <w:t>本年度共</w:t>
      </w:r>
      <w:r>
        <w:rPr>
          <w:rFonts w:cs="楷体_GB2312" w:hint="eastAsia"/>
          <w:kern w:val="0"/>
          <w:szCs w:val="32"/>
          <w:shd w:val="clear" w:color="auto" w:fill="FFFFFF"/>
        </w:rPr>
        <w:t>开展各类海关法律法规和政策宣讲等</w:t>
      </w:r>
      <w:r>
        <w:rPr>
          <w:rFonts w:cs="楷体_GB2312"/>
          <w:kern w:val="0"/>
          <w:szCs w:val="32"/>
          <w:shd w:val="clear" w:color="auto" w:fill="FFFFFF"/>
        </w:rPr>
        <w:t>10</w:t>
      </w:r>
      <w:r>
        <w:rPr>
          <w:rFonts w:cs="楷体_GB2312" w:hint="eastAsia"/>
          <w:kern w:val="0"/>
          <w:szCs w:val="32"/>
          <w:shd w:val="clear" w:color="auto" w:fill="FFFFFF"/>
        </w:rPr>
        <w:t>余</w:t>
      </w:r>
      <w:r>
        <w:rPr>
          <w:rFonts w:cs="楷体_GB2312"/>
          <w:kern w:val="0"/>
          <w:szCs w:val="32"/>
          <w:shd w:val="clear" w:color="auto" w:fill="FFFFFF"/>
        </w:rPr>
        <w:t>次</w:t>
      </w:r>
      <w:r>
        <w:rPr>
          <w:rFonts w:cs="楷体_GB2312" w:hint="eastAsia"/>
          <w:kern w:val="0"/>
          <w:szCs w:val="32"/>
          <w:shd w:val="clear" w:color="auto" w:fill="FFFFFF"/>
        </w:rPr>
        <w:t>。</w:t>
      </w:r>
    </w:p>
    <w:p>
      <w:pPr>
        <w:adjustRightInd w:val="0"/>
        <w:snapToGrid w:val="0"/>
        <w:spacing w:line="560" w:lineRule="exact"/>
        <w:ind w:firstLineChars="200" w:firstLine="640"/>
        <w:rPr>
          <w:szCs w:val="32"/>
        </w:rPr>
      </w:pPr>
    </w:p>
    <w:p>
      <w:pPr>
        <w:pStyle w:val="33"/>
        <w:adjustRightInd w:val="0"/>
        <w:snapToGrid w:val="0"/>
        <w:spacing w:beforeLines="50" w:before="218" w:afterLines="50" w:after="218"/>
        <w:ind w:firstLineChars="200" w:firstLine="624"/>
        <w:rPr>
          <w:rFonts w:ascii="方正黑体_GBK" w:eastAsia="方正黑体_GBK" w:cs="楷体_GB2312" w:hint="eastAsia"/>
          <w:bCs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Cs w:val="32"/>
          <w:shd w:val="clear" w:color="auto" w:fill="FFFFFF"/>
        </w:rPr>
        <w:t>二、主动公开政府信息情况</w:t>
      </w:r>
    </w:p>
    <w:tbl>
      <w:tblPr>
        <w:jc w:val="center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20"/>
        <w:gridCol w:w="2183"/>
        <w:gridCol w:w="1936"/>
        <w:gridCol w:w="2156"/>
      </w:tblGrid>
      <w:tr>
        <w:trPr>
          <w:trHeight w:val="495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435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3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19</w:t>
            </w:r>
          </w:p>
        </w:tc>
      </w:tr>
      <w:tr>
        <w:trPr>
          <w:trHeight w:val="406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3742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64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583</w:t>
            </w:r>
          </w:p>
        </w:tc>
      </w:tr>
      <w:tr>
        <w:trPr>
          <w:trHeight w:val="474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>
        <w:trPr>
          <w:trHeight w:val="68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9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>
        <w:trPr>
          <w:trHeight w:val="51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>
      <w:pPr>
        <w:pStyle w:val="16"/>
        <w:tabs>
          <w:tab w:val="center" w:pos="4153"/>
          <w:tab w:val="right" w:pos="8306"/>
        </w:tabs>
      </w:pPr>
    </w:p>
    <w:p>
      <w:pPr>
        <w:pStyle w:val="25"/>
        <w:widowControl/>
        <w:shd w:val="clear" w:color="auto" w:fill="FFFFFF"/>
        <w:adjustRightInd w:val="0"/>
        <w:snapToGrid w:val="0"/>
        <w:spacing w:beforeAutospacing="0" w:afterLines="50" w:after="218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>
        <w:trPr>
          <w:tblHeader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>
        <w:trPr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>
        <w:trPr>
          <w:trHeight w:val="649"/>
          <w:tblHeader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3.危及“三安全一稳定”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（五）不予处理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810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1.申请人无正当理由逾期不补正、行政机关不再处理其政府信息公开申请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2.申请人逾期未按收费通知要求缴纳费用、行政机关不再处理其政府信息公开申请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>
        <w:trPr>
          <w:trHeight w:val="567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>
            <w:pPr>
              <w:pStyle w:val="28"/>
              <w:widowControl/>
              <w:rPr>
                <w:rFonts w:ascii="楷体" w:eastAsia="楷体" w:cs="楷体" w:hint="eastAsia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</w:tr>
      <w:t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 xml:space="preserve">0 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 xml:space="preserve">0 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3</w:t>
            </w:r>
          </w:p>
        </w:tc>
      </w:tr>
      <w:t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>
      <w:pPr>
        <w:pStyle w:val="25"/>
        <w:widowControl/>
        <w:shd w:val="clear" w:color="auto" w:fill="FFFFFF"/>
        <w:spacing w:beforeLines="50" w:before="218" w:beforeAutospacing="0" w:after="120" w:afterAutospacing="0"/>
        <w:ind w:firstLineChars="200" w:firstLine="640"/>
        <w:jc w:val="both"/>
        <w:rPr>
          <w:rFonts w:ascii="宋体" w:cs="宋体" w:hint="eastAsia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jc w:val="cen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>
        <w:trPr>
          <w:trHeight w:val="862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28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>
      <w:pPr>
        <w:pStyle w:val="25"/>
        <w:widowControl/>
        <w:shd w:val="clear" w:color="auto" w:fill="FFFFFF"/>
        <w:spacing w:beforeLines="50" w:before="218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五、存在的主要问题及改进情况</w:t>
      </w:r>
    </w:p>
    <w:p>
      <w:pPr>
        <w:pStyle w:val="34"/>
        <w:autoSpaceDN w:val="0"/>
        <w:adjustRightInd w:val="0"/>
        <w:ind w:firstLineChars="200" w:firstLine="624"/>
        <w:rPr>
          <w:szCs w:val="32"/>
        </w:rPr>
      </w:pPr>
      <w:r>
        <w:rPr>
          <w:rFonts w:ascii="方正楷体_GBK" w:eastAsia="方正楷体_GBK" w:hint="eastAsia"/>
          <w:b/>
          <w:bCs/>
        </w:rPr>
        <w:t>（一）2022年年报中所提问题整改情况。</w:t>
      </w:r>
      <w:r>
        <w:rPr>
          <w:rFonts w:hint="eastAsia"/>
          <w:szCs w:val="32"/>
        </w:rPr>
        <w:t>针对上一年度我关政务公开标准化规范化工作推动不足，尚未完成总署《海关领域基层政务公开标准指引》对标任务；政务公开工作与行政执法公示等工作结合不够紧密的问题，我关进一步完善了信息公开工作机制，明确各信息公开部门的责任、公开时效和定期检查机制，以隶属海关网上信息公开版块管理为抓手，出台</w:t>
      </w:r>
      <w:r>
        <w:rPr>
          <w:rFonts w:ascii="方正仿宋_GBK" w:cs="Arial" w:hint="eastAsia"/>
          <w:szCs w:val="32"/>
        </w:rPr>
        <w:t>《深圳湾海关政务公开事项目录》并严格对照执行，提升政务公开质量。</w:t>
      </w:r>
    </w:p>
    <w:p>
      <w:pPr>
        <w:pStyle w:val="41"/>
        <w:adjustRightInd w:val="0"/>
        <w:snapToGrid w:val="0"/>
        <w:ind w:firstLineChars="200" w:firstLine="624"/>
      </w:pPr>
      <w:r>
        <w:rPr>
          <w:rFonts w:ascii="方正楷体_GBK" w:eastAsia="方正楷体_GBK" w:hint="eastAsia"/>
          <w:b/>
          <w:bCs/>
        </w:rPr>
        <w:t>（二）目前存在问题。</w:t>
      </w:r>
      <w:r>
        <w:rPr>
          <w:rFonts w:hint="eastAsia"/>
        </w:rPr>
        <w:t>有群众反映，已公开的信息检索便利性不足，将对这个问题开展调研改进。</w:t>
      </w:r>
    </w:p>
    <w:p>
      <w:pPr>
        <w:pStyle w:val="25"/>
        <w:widowControl/>
        <w:shd w:val="clear" w:color="auto" w:fill="FFFFFF"/>
        <w:spacing w:beforeLines="50" w:before="218" w:beforeAutospacing="0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六、其他需要报告的事项</w:t>
      </w:r>
      <w:bookmarkEnd w:id="1"/>
    </w:p>
    <w:p>
      <w:pPr>
        <w:pStyle w:val="25"/>
        <w:widowControl/>
        <w:shd w:val="clear" w:color="auto" w:fill="FFFFFF"/>
        <w:spacing w:beforeAutospacing="0" w:afterAutospacing="0" w:line="560" w:lineRule="exact"/>
        <w:ind w:firstLineChars="200" w:firstLine="624"/>
        <w:jc w:val="both"/>
        <w:rPr>
          <w:rFonts w:eastAsia="方正仿宋_GBK" w:cs="楷体_GB2312" w:hint="eastAsia"/>
          <w:bCs/>
          <w:spacing w:val="-4"/>
          <w:kern w:val="2"/>
          <w:sz w:val="32"/>
          <w:szCs w:val="28"/>
        </w:rPr>
      </w:pPr>
      <w:r>
        <w:rPr>
          <w:rFonts w:eastAsia="方正仿宋_GBK" w:hint="eastAsia"/>
          <w:spacing w:val="-4"/>
          <w:kern w:val="2"/>
          <w:sz w:val="32"/>
          <w:szCs w:val="28"/>
        </w:rPr>
        <w:t>本年度未收取政府信息公开处理费。无其他需要报告的事项。</w:t>
      </w:r>
    </w:p>
    <w:sectPr>
      <w:footerReference w:type="default" r:id="rId2"/>
      <w:footerReference w:type="even" r:id="rId3"/>
      <w:footerReference w:type="first" r:id="rId4"/>
      <w:pgSz w:w="11906" w:h="16838"/>
      <w:pgMar w:top="2098" w:right="1474" w:bottom="1985" w:left="1588" w:header="851" w:footer="992" w:gutter="0"/>
      <w:pgNumType w:fmt="numberInDash" w:start="1"/>
      <w:docGrid w:type="lines" w:linePitch="435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楷体_GB2312">
    <w:altName w:val="楷体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- 5 -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framePr w:w="0" w:hRule="auto" w:wrap="around" w:vAnchor="text" w:hAnchor="margin" w:xAlign="outside" w:y="1" w:anchorLock="0"/>
      <w:tabs>
        <w:tab w:val="center" w:pos="4153"/>
        <w:tab w:val="right" w:pos="8306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rPr>
        <w:rStyle w:val="17"/>
      </w:rPr>
      <w:fldChar w:fldCharType="separate"/>
    </w:r>
    <w:r>
      <w:rPr>
        <w:rStyle w:val="17"/>
      </w:rPr>
      <w:t>- 6 -</w:t>
    </w:r>
    <w:r>
      <w:rPr>
        <w:rStyle w:val="17"/>
      </w:rPr>
      <w:fldChar w:fldCharType="end"/>
    </w:r>
  </w:p>
  <w:p>
    <w:pPr>
      <w:pStyle w:val="16"/>
      <w:tabs>
        <w:tab w:val="center" w:pos="4153"/>
        <w:tab w:val="right" w:pos="8306"/>
      </w:tabs>
      <w:ind w:right="360" w:firstLine="360"/>
    </w:pP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16"/>
      <w:tabs>
        <w:tab w:val="center" w:pos="4153"/>
        <w:tab w:val="right" w:pos="8306"/>
      </w:tabs>
      <w:jc w:val="right"/>
    </w:pP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NumPages</w:instrText>
    </w:r>
    <w:r>
      <w:fldChar w:fldCharType="separate"/>
    </w:r>
    <w:r>
      <w:rPr>
        <w:lang w:val="en-US" w:eastAsia="zh-CN"/>
      </w:rPr>
      <w:t>6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  <w:r>
      <w:fldChar w:fldCharType="begin"/>
    </w:r>
    <w:r>
      <w:instrText>Page</w:instrText>
    </w:r>
    <w:r>
      <w:fldChar w:fldCharType="separate"/>
    </w:r>
    <w:r>
      <w:t>- 1 -</w:t>
    </w:r>
    <w:r>
      <w:fldChar w:fldCharType="end"/>
    </w:r>
  </w:p>
  <w:p>
    <w:pPr>
      <w:pStyle w:val="16"/>
      <w:tabs>
        <w:tab w:val="center" w:pos="4153"/>
        <w:tab w:val="right" w:pos="8306"/>
      </w:tabs>
    </w:pP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1D9FBB98"/>
    <w:multiLevelType w:val="singleLevel"/>
    <w:tmpl w:val="9DA0806E"/>
    <w:lvl w:ilvl="0">
      <w:start w:val="1"/>
      <w:numFmt w:val="decimal"/>
      <w:lvlRestart w:val="0"/>
      <w:pStyle w:val="52"/>
      <w:lvlText w:val="%1."/>
      <w:lvlJc w:val="left"/>
      <w:pPr>
        <w:tabs>
          <w:tab w:val="num" w:pos="780"/>
        </w:tabs>
        <w:ind w:left="780" w:hanging="36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evenAndOddHeaders/>
  <w:drawingGridHorizontalSpacing w:val="160"/>
  <w:drawingGridVerticalSpacing w:val="435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eastAsia="黑体"/>
      <w:b/>
      <w:bCs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17">
    <w:name w:val="page number"/>
    <w:basedOn w:val="10"/>
  </w:style>
  <w:style w:type="paragraph" w:customStyle="1" w:styleId="18">
    <w:name w:val="样式 三号"/>
    <w:next w:val="27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styleId="19">
    <w:name w:val="index 5"/>
    <w:basedOn w:val="0"/>
    <w:autoRedefine/>
    <w:next w:val="0"/>
    <w:pPr>
      <w:ind w:left="1680"/>
    </w:pPr>
    <w:rPr>
      <w:rFonts w:ascii="Times New Roman" w:eastAsia="方正黑体_GBK" w:cs="Times New Roman" w:hAnsi="Times New Roman"/>
      <w:lang w:val="en-US" w:eastAsia="zh-CN" w:bidi="ar-SA"/>
    </w:rPr>
  </w:style>
  <w:style w:type="paragraph" w:styleId="20">
    <w:name w:val="index 6"/>
    <w:basedOn w:val="0"/>
    <w:autoRedefine/>
    <w:next w:val="0"/>
    <w:pPr>
      <w:ind w:left="2100"/>
    </w:pPr>
  </w:style>
  <w:style w:type="paragraph" w:styleId="21">
    <w:name w:val="index 7"/>
    <w:basedOn w:val="0"/>
    <w:autoRedefine/>
    <w:next w:val="0"/>
    <w:pPr>
      <w:ind w:left="2520"/>
    </w:pPr>
  </w:style>
  <w:style w:type="paragraph" w:styleId="22">
    <w:name w:val="index 8"/>
    <w:basedOn w:val="0"/>
    <w:autoRedefine/>
    <w:next w:val="0"/>
    <w:pPr>
      <w:ind w:left="2940"/>
    </w:pPr>
  </w:style>
  <w:style w:type="paragraph" w:styleId="23">
    <w:name w:val="toc 1"/>
    <w:basedOn w:val="0"/>
    <w:autoRedefine/>
    <w:next w:val="0"/>
  </w:style>
  <w:style w:type="paragraph" w:styleId="24">
    <w:name w:val="toc 2"/>
    <w:basedOn w:val="0"/>
    <w:autoRedefine/>
    <w:next w:val="0"/>
    <w:pPr>
      <w:ind w:left="420"/>
    </w:pPr>
  </w:style>
  <w:style w:type="paragraph" w:styleId="25">
    <w:name w:val="Normal (Web)"/>
    <w:next w:val="16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26">
    <w:name w:val="样式 1 三号"/>
    <w:next w:val="23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2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28">
    <w:name w:val="样式 小三"/>
    <w:next w:val="24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29">
    <w:name w:val="样式 1 小四"/>
    <w:next w:val="0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30">
    <w:name w:val="样式 6 小四"/>
    <w:next w:val="0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1">
    <w:name w:val="样式 20 小四"/>
    <w:next w:val="19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32">
    <w:name w:val="样式 12 三号"/>
    <w:next w:val="22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3">
    <w:name w:val="样式 50 三号"/>
    <w:next w:val="20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4">
    <w:name w:val="样式 13 三号"/>
    <w:next w:val="21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35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36">
    <w:name w:val="样式 3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7">
    <w:name w:val="样式 4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8">
    <w:name w:val="样式 5 三号"/>
    <w:pPr>
      <w:widowControl w:val="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39">
    <w:name w:val="样式 6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szCs w:val="28"/>
      <w:lang w:val="en-US" w:eastAsia="zh-CN" w:bidi="ar-SA"/>
    </w:rPr>
  </w:style>
  <w:style w:type="paragraph" w:customStyle="1" w:styleId="40">
    <w:name w:val="样式 7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1">
    <w:name w:val="样式 8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42">
    <w:name w:val="样式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customStyle="1" w:styleId="43">
    <w:name w:val="样式 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4">
    <w:name w:val="样式 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5">
    <w:name w:val="样式 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6">
    <w:name w:val="样式 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47">
    <w:name w:val="样式 9 三号"/>
    <w:pPr>
      <w:widowControl w:val="0"/>
      <w:ind w:left="420"/>
      <w:jc w:val="both"/>
    </w:pPr>
    <w:rPr>
      <w:rFonts w:ascii="Times New Roman" w:eastAsia="方正仿宋_GBK" w:cs="Times New Roman" w:hAnsi="Times New Roman"/>
      <w:kern w:val="2"/>
      <w:sz w:val="32"/>
      <w:szCs w:val="22"/>
      <w:lang w:val="en-US" w:eastAsia="zh-CN" w:bidi="ar-SA"/>
    </w:rPr>
  </w:style>
  <w:style w:type="paragraph" w:customStyle="1" w:styleId="48">
    <w:name w:val="样式 2 小四"/>
    <w:pPr>
      <w:widowControl w:val="0"/>
      <w:spacing w:beforeAutospacing="1" w:afterAutospacing="1"/>
    </w:pPr>
    <w:rPr>
      <w:rFonts w:ascii="Times New Roman" w:eastAsia="宋体" w:cs="Times New Roman" w:hAnsi="Times New Roman"/>
      <w:sz w:val="24"/>
      <w:szCs w:val="30"/>
      <w:lang w:val="en-US" w:eastAsia="zh-CN" w:bidi="ar-SA"/>
    </w:rPr>
  </w:style>
  <w:style w:type="paragraph" w:customStyle="1" w:styleId="49">
    <w:name w:val="样式 10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  <w:style w:type="paragraph" w:customStyle="1" w:styleId="50">
    <w:name w:val="样式 3 小四"/>
    <w:pPr>
      <w:widowControl w:val="0"/>
    </w:pPr>
    <w:rPr>
      <w:rFonts w:ascii="宋体" w:eastAsia="宋体" w:cs="Times New Roman"/>
      <w:kern w:val="2"/>
      <w:sz w:val="24"/>
      <w:lang w:val="en-US" w:eastAsia="zh-CN" w:bidi="ar-SA"/>
    </w:rPr>
  </w:style>
  <w:style w:type="paragraph" w:styleId="51">
    <w:name w:val="List Number 2"/>
    <w:basedOn w:val="0"/>
    <w:pPr>
      <w:numPr>
        <w:ilvl w:val="0"/>
        <w:numId w:val="1"/>
      </w:numPr>
    </w:pPr>
  </w:style>
  <w:style w:type="paragraph" w:customStyle="1" w:styleId="52">
    <w:name w:val="样式 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3">
    <w:name w:val="样式 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4">
    <w:name w:val="样式 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5">
    <w:name w:val="样式 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6">
    <w:name w:val="样式 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7">
    <w:name w:val="样式 1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8">
    <w:name w:val="样式 11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59">
    <w:name w:val="样式 12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0">
    <w:name w:val="样式 13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1">
    <w:name w:val="样式 14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2">
    <w:name w:val="样式 15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3">
    <w:name w:val="样式 16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4">
    <w:name w:val="样式 17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5">
    <w:name w:val="样式 18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6">
    <w:name w:val="样式 19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customStyle="1" w:styleId="67">
    <w:name w:val="样式 20 小三"/>
    <w:pPr>
      <w:widowControl w:val="0"/>
      <w:jc w:val="both"/>
    </w:pPr>
    <w:rPr>
      <w:rFonts w:ascii="Times New Roman" w:eastAsia="宋体" w:cs="Times New Roman" w:hAnsi="Times New Roman"/>
      <w:kern w:val="2"/>
      <w:sz w:val="30"/>
      <w:szCs w:val="30"/>
      <w:lang w:val="en-US" w:eastAsia="zh-CN" w:bidi="ar-SA"/>
    </w:rPr>
  </w:style>
  <w:style w:type="paragraph" w:styleId="68">
    <w:name w:val="Balloon Text"/>
    <w:basedOn w:val="0"/>
    <w:rPr>
      <w:sz w:val="18"/>
      <w:szCs w:val="18"/>
    </w:rPr>
  </w:style>
  <w:style w:type="paragraph" w:customStyle="1" w:styleId="69">
    <w:name w:val="样式 10 磅"/>
    <w:pPr>
      <w:widowControl w:val="0"/>
      <w:ind w:left="210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0">
    <w:name w:val="样式 1 10 磅"/>
    <w:pPr>
      <w:widowControl w:val="0"/>
      <w:ind w:left="210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">
    <w:name w:val="样式 4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numbering" Target="numbering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</Application>
  <Pages>1</Pages>
  <Words>27</Words>
  <Characters>27</Characters>
  <Lines>1</Lines>
  <Paragraphs>1</Paragraphs>
  <CharactersWithSpaces>27</CharactersWithSpaces>
  <Company>ccic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cp:lastModifiedBy>szhg</cp:lastModifiedBy>
  <cp:revision>2</cp:revision>
  <cp:lastPrinted>2024-01-18T02:54:00Z</cp:lastPrinted>
  <dcterms:created xsi:type="dcterms:W3CDTF">2024-01-30T09:51:00Z</dcterms:created>
  <dcterms:modified xsi:type="dcterms:W3CDTF">2025-12-11T02:21:53Z</dcterms:modified>
</cp:coreProperties>
</file>