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r>
        <w:rPr>
          <w:rFonts w:ascii="方正小标宋_GBK" w:eastAsia="方正小标宋_GBK" w:cs="宋体"/>
          <w:bCs/>
          <w:kern w:val="0"/>
          <w:sz w:val="44"/>
          <w:szCs w:val="44"/>
        </w:rPr>
        <w:t>中华人民共和国</w:t>
      </w:r>
      <w:r>
        <w:rPr>
          <w:rFonts w:ascii="方正小标宋_GBK" w:eastAsia="方正小标宋_GBK" w:cs="宋体"/>
          <w:bCs/>
          <w:kern w:val="0"/>
          <w:sz w:val="44"/>
          <w:szCs w:val="44"/>
        </w:rPr>
        <w:t>坪山海关对深圳翰宇药业股份有限公司</w:t>
      </w: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行政处罚结果公示</w:t>
      </w:r>
    </w:p>
    <w:p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</w:p>
    <w:tbl>
      <w:tblPr>
        <w:jc w:val="left"/>
        <w:tblW w:w="8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205"/>
        <w:gridCol w:w="5040"/>
      </w:tblGrid>
      <w:tr>
        <w:trPr>
          <w:trHeight w:val="713"/>
        </w:trP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1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行政处罚决定书文号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bCs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坪关缉一缉违字〔2025〕24号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2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行政处罚相对人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深圳翰宇药业股份有限公司</w:t>
            </w:r>
          </w:p>
        </w:tc>
      </w:tr>
      <w:tr>
        <w:trPr>
          <w:trHeight w:val="1072"/>
        </w:trP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3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spacing w:line="560" w:lineRule="exact"/>
              <w:rPr>
                <w:rFonts w:ascii="方正黑体_GBK" w:eastAsia="方正黑体_GBK"/>
                <w:sz w:val="32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/海关代码</w:t>
            </w:r>
          </w:p>
        </w:tc>
        <w:tc>
          <w:tcPr>
            <w:tcW w:w="5040" w:type="dxa"/>
          </w:tcPr>
          <w:p>
            <w:pPr>
              <w:autoSpaceDN w:val="0"/>
              <w:spacing w:line="560" w:lineRule="exact"/>
              <w:jc w:val="left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91440300748855818E</w:t>
            </w:r>
          </w:p>
          <w:p>
            <w:pPr>
              <w:autoSpaceDN w:val="0"/>
              <w:spacing w:line="560" w:lineRule="exact"/>
              <w:jc w:val="left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/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4453161907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4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法定代表人</w:t>
            </w:r>
          </w:p>
        </w:tc>
        <w:tc>
          <w:tcPr>
            <w:tcW w:w="5040" w:type="dxa"/>
          </w:tcPr>
          <w:p>
            <w:pPr>
              <w:pStyle w:val="74"/>
              <w:snapToGrid w:val="0"/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曾少贵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5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作出处罚决定的海关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坪山海关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 w:hint="eastAsia"/>
                <w:sz w:val="32"/>
              </w:rPr>
              <w:t>6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</w:t>
            </w:r>
            <w:r>
              <w:rPr>
                <w:rFonts w:ascii="方正黑体_GBK" w:eastAsia="方正黑体_GBK"/>
                <w:sz w:val="32"/>
                <w:szCs w:val="32"/>
              </w:rPr>
              <w:t>行政处罚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的日期</w:t>
            </w:r>
          </w:p>
        </w:tc>
        <w:tc>
          <w:tcPr>
            <w:tcW w:w="5040" w:type="dxa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202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5年6月12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违法事实和理由</w:t>
            </w:r>
          </w:p>
        </w:tc>
        <w:tc>
          <w:tcPr>
            <w:tcW w:w="7245" w:type="dxa"/>
            <w:gridSpan w:val="2"/>
          </w:tcPr>
          <w:p>
            <w:pPr>
              <w:pStyle w:val="74"/>
              <w:snapToGrid w:val="0"/>
              <w:spacing w:line="560" w:lineRule="exact"/>
              <w:ind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经我关调查，当事人有以下违法行为：</w:t>
            </w:r>
          </w:p>
          <w:p>
            <w:pPr>
              <w:pStyle w:val="74"/>
              <w:snapToGrid w:val="0"/>
              <w:spacing w:line="560" w:lineRule="exact"/>
              <w:ind w:left="0"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当事人在执行加工贸易手册C533924A0032期间，未依照海关对加工贸易货物的监管规定办理出口手续，将保税货物以一般贸易方式出口，涉及保税料件序号 1笔式注射器-笔身45366个、序号2笔式注射器-笔帽45366个、序号3笔式注射器-护套45366个。经计核，涉案货物价值人民币186.633184万元。 以上行为违反了《中华人民共和国海关行政处罚实施条例》第十八条第一款第四项的规定，但没有影响国家有关进出境的禁止性或者限制性管理、税款征收、外汇管理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和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 xml:space="preserve">出口退税管理，具有减轻处罚情节。  </w:t>
            </w:r>
          </w:p>
          <w:p>
            <w:pPr>
              <w:pStyle w:val="74"/>
              <w:snapToGrid w:val="0"/>
              <w:spacing w:line="560" w:lineRule="exact"/>
              <w:ind w:left="0"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以上行为有核查工作记录、检查记录、加工贸易手册复印件、进出口报关单及随附单证复印件、查问笔录、税款海关核定证明书和企业报告等证据为证。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执法依据</w:t>
            </w:r>
          </w:p>
        </w:tc>
        <w:tc>
          <w:tcPr>
            <w:tcW w:w="7245" w:type="dxa"/>
            <w:gridSpan w:val="2"/>
          </w:tcPr>
          <w:p>
            <w:pPr>
              <w:pStyle w:val="70"/>
              <w:autoSpaceDN w:val="0"/>
              <w:spacing w:line="500" w:lineRule="exact"/>
              <w:ind w:left="0" w:firstLineChars="150" w:firstLine="480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依照《中华人民共和国海关行政处罚实施条例》第十八条第一款第四项、《中华人民共和国海关行政处罚裁量基准（一）》（海关总署公告2023年第182号）第八条第七项第4目、第十二条第一项之规定。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处罚内容</w:t>
            </w:r>
          </w:p>
        </w:tc>
        <w:tc>
          <w:tcPr>
            <w:tcW w:w="7245" w:type="dxa"/>
            <w:gridSpan w:val="2"/>
          </w:tcPr>
          <w:p>
            <w:pPr>
              <w:pStyle w:val="74"/>
              <w:spacing w:line="560" w:lineRule="exact"/>
              <w:ind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科处罚款人民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币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1.87</w:t>
            </w:r>
            <w:r>
              <w:rPr>
                <w:rFonts w:ascii="方正仿宋_GBK" w:eastAsia="方正仿宋_GBK" w:cs="MS Shell Dlg"/>
                <w:kern w:val="0"/>
                <w:sz w:val="32"/>
                <w:szCs w:val="32"/>
              </w:rPr>
              <w:t>万元</w:t>
            </w: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救济渠道</w:t>
            </w:r>
          </w:p>
        </w:tc>
        <w:tc>
          <w:tcPr>
            <w:tcW w:w="7245" w:type="dxa"/>
            <w:gridSpan w:val="2"/>
          </w:tcPr>
          <w:p>
            <w:pPr>
              <w:pStyle w:val="77"/>
              <w:spacing w:before="100" w:beforeAutospacing="1" w:after="100" w:afterAutospacing="1" w:line="560" w:lineRule="exact"/>
              <w:ind w:left="0" w:firstLineChars="150" w:firstLine="480"/>
              <w:rPr>
                <w:rFonts w:ascii="方正仿宋_GBK" w:eastAsia="方正仿宋_GBK" w:cs="MS Shell Dlg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MS Shell Dlg" w:hint="eastAsia"/>
                <w:kern w:val="0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方正小标宋_GBK" w:eastAsia="方正小标宋_GBK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其他</w:t>
            </w:r>
          </w:p>
        </w:tc>
        <w:tc>
          <w:tcPr>
            <w:tcW w:w="7245" w:type="dxa"/>
            <w:gridSpan w:val="2"/>
          </w:tcPr>
          <w:p>
            <w:pPr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S Shell Dlg">
    <w:altName w:val="Vijaya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4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 10 磅"/>
    <w:next w:val="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8"/>
      <w:lang w:val="en-US" w:eastAsia="zh-CN" w:bidi="ar-SA"/>
    </w:rPr>
  </w:style>
  <w:style w:type="paragraph" w:styleId="71">
    <w:name w:val="Body Text Indent 2"/>
    <w:basedOn w:val="0"/>
    <w:pPr>
      <w:spacing w:after="120" w:line="480" w:lineRule="auto"/>
      <w:ind w:left="420"/>
    </w:pPr>
  </w:style>
  <w:style w:type="paragraph" w:customStyle="1" w:styleId="7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75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76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9 10 磅"/>
    <w:pPr>
      <w:widowControl w:val="0"/>
      <w:spacing w:after="120" w:line="480" w:lineRule="auto"/>
      <w:ind w:leftChars="200" w:left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8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8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">
    <w:name w:val="样式 1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0">
    <w:name w:val="样式 1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1">
    <w:name w:val="样式 1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2">
    <w:name w:val="样式 1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3">
    <w:name w:val="样式 1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4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6">
    <w:name w:val="样式 2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07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08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09">
    <w:name w:val="样式 2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10">
    <w:name w:val="样式 2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11">
    <w:name w:val="样式 2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212">
    <w:name w:val="样式 2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82</TotalTime>
  <Application>Yozo_Office</Application>
  <Pages>1</Pages>
  <Words>32</Words>
  <Characters>32</Characters>
  <Lines>2</Lines>
  <Paragraphs>1</Paragraphs>
  <CharactersWithSpaces>32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林向明</cp:lastModifiedBy>
  <cp:revision>3</cp:revision>
  <cp:lastPrinted>2024-11-19T07:47:00Z</cp:lastPrinted>
  <dcterms:created xsi:type="dcterms:W3CDTF">2024-12-24T03:26:00Z</dcterms:created>
  <dcterms:modified xsi:type="dcterms:W3CDTF">2025-06-13T01:10:55Z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