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ascii="方正小标宋_GBK" w:eastAsia="方正小标宋_GBK" w:hint="eastAsia"/>
          <w:sz w:val="44"/>
          <w:szCs w:val="44"/>
        </w:rPr>
      </w:pPr>
      <w:bookmarkStart w:id="0" w:name="dbds__标题__text"/>
      <w:bookmarkStart w:id="1" w:name="_GoBack"/>
      <w:bookmarkEnd w:id="0"/>
      <w:bookmarkEnd w:id="1"/>
      <w:r>
        <w:rPr>
          <w:rFonts w:ascii="方正小标宋_GBK" w:eastAsia="方正小标宋_GBK" w:hint="eastAsia"/>
          <w:spacing w:val="-6"/>
          <w:sz w:val="44"/>
          <w:szCs w:val="44"/>
          <w:shd w:val="clear" w:color="auto" w:fill="auto"/>
        </w:rPr>
        <w:t>2026年</w:t>
      </w:r>
      <w:r>
        <w:rPr>
          <w:rFonts w:ascii="方正小标宋_GBK" w:eastAsia="方正小标宋_GBK"/>
          <w:spacing w:val="-6"/>
          <w:sz w:val="44"/>
          <w:szCs w:val="44"/>
          <w:shd w:val="clear" w:color="auto" w:fill="auto"/>
        </w:rPr>
        <w:t>前5个月</w:t>
      </w:r>
      <w:r>
        <w:rPr>
          <w:rFonts w:ascii="方正小标宋_GBK" w:eastAsia="方正小标宋_GBK" w:hint="eastAsia"/>
          <w:spacing w:val="-6"/>
          <w:sz w:val="44"/>
          <w:szCs w:val="44"/>
          <w:shd w:val="clear" w:color="auto" w:fill="auto"/>
        </w:rPr>
        <w:t>深圳市锂电池出口情况</w:t>
      </w:r>
    </w:p>
    <w:p>
      <w:pPr>
        <w:spacing w:line="560" w:lineRule="exact"/>
        <w:jc w:val="center"/>
        <w:rPr>
          <w:rFonts w:ascii="方正小标宋_GBK" w:eastAsia="方正小标宋_GBK" w:hint="eastAsia"/>
          <w:sz w:val="44"/>
          <w:szCs w:val="44"/>
        </w:rPr>
      </w:pPr>
    </w:p>
    <w:p>
      <w:pPr>
        <w:pStyle w:val="22"/>
        <w:spacing w:line="560" w:lineRule="exact"/>
        <w:ind w:firstLine="586"/>
        <w:rPr>
          <w:rFonts w:ascii="Times New Roman" w:eastAsia="方正仿宋_GBK" w:hAnsi="Times New Roman"/>
          <w:spacing w:val="-6"/>
          <w:sz w:val="32"/>
          <w:szCs w:val="32"/>
        </w:rPr>
      </w:pPr>
      <w:bookmarkStart w:id="2" w:name="dbds__单信息正文__file"/>
      <w:r>
        <w:rPr>
          <w:rFonts w:ascii="Times New Roman" w:eastAsia="方正仿宋_GBK" w:hAnsi="Times New Roman"/>
          <w:spacing w:val="-6"/>
          <w:sz w:val="32"/>
          <w:szCs w:val="32"/>
        </w:rPr>
        <w:t>据海关统计，2026年前5个月，深圳市锂电池出口424.8</w:t>
      </w:r>
      <w:r>
        <w:rPr>
          <w:rFonts w:ascii="Times New Roman" w:eastAsia="方正仿宋_GBK" w:hAnsi="Times New Roman" w:hint="eastAsia"/>
          <w:spacing w:val="-6"/>
          <w:sz w:val="32"/>
          <w:szCs w:val="32"/>
        </w:rPr>
        <w:t>亿元，同比（下同）</w:t>
      </w:r>
      <w:r>
        <w:rPr>
          <w:rFonts w:ascii="Times New Roman" w:eastAsia="方正仿宋_GBK" w:hAnsi="Times New Roman"/>
          <w:spacing w:val="-6"/>
          <w:sz w:val="32"/>
          <w:szCs w:val="32"/>
        </w:rPr>
        <w:t>增长47.2</w:t>
      </w:r>
      <w:r>
        <w:rPr>
          <w:rFonts w:ascii="Times New Roman" w:eastAsia="方正仿宋_GBK" w:hAnsi="Times New Roman" w:hint="eastAsia"/>
          <w:spacing w:val="-6"/>
          <w:sz w:val="32"/>
          <w:szCs w:val="32"/>
        </w:rPr>
        <w:t>%</w:t>
      </w:r>
      <w:r>
        <w:rPr>
          <w:rFonts w:ascii="Times New Roman" w:eastAsia="方正仿宋_GBK" w:hAnsi="Times New Roman"/>
          <w:spacing w:val="-6"/>
          <w:sz w:val="32"/>
          <w:szCs w:val="32"/>
        </w:rPr>
        <w:t>；出口数量增加13.4%，出口平均价格上涨29.8%，呈现</w:t>
      </w:r>
      <w:r>
        <w:rPr>
          <w:rFonts w:ascii="Times New Roman" w:eastAsia="方正仿宋_GBK" w:hAnsi="Times New Roman" w:hint="eastAsia"/>
          <w:spacing w:val="-6"/>
          <w:sz w:val="32"/>
          <w:szCs w:val="32"/>
        </w:rPr>
        <w:t>“量价齐升”态势</w:t>
      </w:r>
      <w:r>
        <w:rPr>
          <w:rFonts w:ascii="Times New Roman" w:eastAsia="方正仿宋_GBK" w:hAnsi="Times New Roman"/>
          <w:spacing w:val="-6"/>
          <w:sz w:val="32"/>
          <w:szCs w:val="32"/>
        </w:rPr>
        <w:t>。</w:t>
      </w:r>
    </w:p>
    <w:p>
      <w:pPr>
        <w:pStyle w:val="22"/>
        <w:spacing w:line="560" w:lineRule="exact"/>
        <w:ind w:firstLine="586"/>
        <w:rPr>
          <w:rFonts w:ascii="方正黑体_GBK" w:eastAsia="方正黑体_GBK" w:hint="eastAsia"/>
          <w:spacing w:val="-6"/>
          <w:sz w:val="32"/>
          <w:szCs w:val="32"/>
          <w:shd w:val="clear" w:color="auto" w:fill="auto"/>
        </w:rPr>
      </w:pPr>
      <w:r>
        <w:rPr>
          <w:rFonts w:ascii="方正黑体_GBK" w:eastAsia="方正黑体_GBK"/>
          <w:spacing w:val="-6"/>
          <w:sz w:val="32"/>
          <w:szCs w:val="32"/>
          <w:shd w:val="clear" w:color="auto" w:fill="auto"/>
        </w:rPr>
        <w:t>前5个月</w:t>
      </w:r>
      <w:r>
        <w:rPr>
          <w:rFonts w:ascii="方正黑体_GBK" w:eastAsia="方正黑体_GBK" w:hint="eastAsia"/>
          <w:spacing w:val="-6"/>
          <w:sz w:val="32"/>
          <w:szCs w:val="32"/>
          <w:shd w:val="clear" w:color="auto" w:fill="auto"/>
        </w:rPr>
        <w:t>深圳</w:t>
      </w:r>
      <w:r>
        <w:rPr>
          <w:rFonts w:ascii="方正黑体_GBK" w:eastAsia="方正黑体_GBK"/>
          <w:spacing w:val="-6"/>
          <w:sz w:val="32"/>
          <w:szCs w:val="32"/>
          <w:shd w:val="clear" w:color="auto" w:fill="auto"/>
        </w:rPr>
        <w:t>市锂电池</w:t>
      </w:r>
      <w:r>
        <w:rPr>
          <w:rFonts w:ascii="方正黑体_GBK" w:eastAsia="方正黑体_GBK" w:hint="eastAsia"/>
          <w:spacing w:val="-6"/>
          <w:sz w:val="32"/>
          <w:szCs w:val="32"/>
          <w:shd w:val="clear" w:color="auto" w:fill="auto"/>
        </w:rPr>
        <w:t>出口</w:t>
      </w:r>
      <w:r>
        <w:rPr>
          <w:rFonts w:ascii="方正黑体_GBK" w:eastAsia="方正黑体_GBK" w:hint="eastAsia"/>
          <w:sz w:val="32"/>
          <w:szCs w:val="32"/>
        </w:rPr>
        <w:t>主要呈现以下特点</w:t>
      </w:r>
      <w:r>
        <w:rPr>
          <w:rFonts w:ascii="方正黑体_GBK" w:eastAsia="方正黑体_GBK"/>
          <w:sz w:val="32"/>
          <w:szCs w:val="32"/>
        </w:rPr>
        <w:t>：</w:t>
      </w:r>
    </w:p>
    <w:p>
      <w:pPr>
        <w:pStyle w:val="22"/>
        <w:spacing w:line="560" w:lineRule="exact"/>
        <w:ind w:firstLine="570"/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</w:pPr>
      <w:r>
        <w:rPr>
          <w:rFonts w:ascii="方正楷体_GBK" w:eastAsia="方正楷体_GBK" w:hint="eastAsia"/>
          <w:b/>
          <w:bCs/>
          <w:spacing w:val="-6"/>
          <w:sz w:val="32"/>
          <w:szCs w:val="32"/>
          <w:shd w:val="clear" w:color="auto" w:fill="auto"/>
        </w:rPr>
        <w:t>一是一般贸易出口占比超</w:t>
      </w:r>
      <w:r>
        <w:rPr>
          <w:rFonts w:ascii="方正楷体_GBK" w:eastAsia="方正楷体_GBK"/>
          <w:b/>
          <w:bCs/>
          <w:spacing w:val="-6"/>
          <w:sz w:val="32"/>
          <w:szCs w:val="32"/>
          <w:shd w:val="clear" w:color="auto" w:fill="auto"/>
        </w:rPr>
        <w:t>9</w:t>
      </w:r>
      <w:r>
        <w:rPr>
          <w:rFonts w:ascii="方正楷体_GBK" w:eastAsia="方正楷体_GBK" w:hint="eastAsia"/>
          <w:b/>
          <w:bCs/>
          <w:spacing w:val="-6"/>
          <w:sz w:val="32"/>
          <w:szCs w:val="32"/>
          <w:shd w:val="clear" w:color="auto" w:fill="auto"/>
        </w:rPr>
        <w:t>成。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前5个月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，深圳市以一般贸易方式出口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锂电池384.2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亿元，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增长47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%，占同期深圳市出口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锂电池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总值的（下同）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90.4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%。同期，以加工贸易方式出口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27.9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亿元，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增长38.4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%，占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6.6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%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；</w:t>
      </w:r>
      <w:r>
        <w:rPr>
          <w:rFonts w:ascii="Times New Roman" w:eastAsia="方正仿宋_GBK" w:hAnsi="Times New Roman" w:hint="eastAsia"/>
          <w:sz w:val="32"/>
          <w:szCs w:val="32"/>
        </w:rPr>
        <w:t>以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保税物流</w:t>
      </w:r>
      <w:r>
        <w:rPr>
          <w:rFonts w:ascii="Times New Roman" w:eastAsia="方正仿宋_GBK" w:hAnsi="Times New Roman" w:hint="eastAsia"/>
          <w:sz w:val="32"/>
          <w:szCs w:val="32"/>
        </w:rPr>
        <w:t>方式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出口</w:t>
      </w:r>
      <w:r>
        <w:rPr>
          <w:rFonts w:ascii="Times New Roman" w:eastAsia="方正仿宋_GBK" w:cs="Times New Roman" w:hAnsi="Times New Roman"/>
          <w:sz w:val="32"/>
          <w:szCs w:val="32"/>
        </w:rPr>
        <w:t>10.7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亿元，</w:t>
      </w:r>
      <w:r>
        <w:rPr>
          <w:rFonts w:ascii="Times New Roman" w:eastAsia="方正仿宋_GBK" w:cs="Times New Roman" w:hAnsi="Times New Roman"/>
          <w:sz w:val="32"/>
          <w:szCs w:val="32"/>
        </w:rPr>
        <w:t>增长67.2</w:t>
      </w:r>
      <w:r>
        <w:rPr>
          <w:rFonts w:ascii="Times New Roman" w:eastAsia="方正仿宋_GBK" w:cs="Times New Roman" w:hAnsi="Times New Roman" w:hint="eastAsia"/>
          <w:sz w:val="32"/>
          <w:szCs w:val="32"/>
        </w:rPr>
        <w:t>%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。</w:t>
      </w:r>
    </w:p>
    <w:p>
      <w:pPr>
        <w:pStyle w:val="29"/>
        <w:spacing w:line="560" w:lineRule="exact"/>
        <w:ind w:firstLine="570"/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</w:pPr>
      <w:r>
        <w:rPr>
          <w:rFonts w:ascii="方正楷体_GBK" w:eastAsia="方正楷体_GBK" w:hint="eastAsia"/>
          <w:b/>
          <w:bCs/>
          <w:color w:val="000000"/>
          <w:spacing w:val="-6"/>
          <w:sz w:val="32"/>
          <w:szCs w:val="32"/>
        </w:rPr>
        <w:t>二</w:t>
      </w:r>
      <w:r>
        <w:rPr>
          <w:rFonts w:ascii="方正楷体_GBK" w:eastAsia="方正楷体_GBK"/>
          <w:b/>
          <w:bCs/>
          <w:color w:val="000000"/>
          <w:spacing w:val="-6"/>
          <w:sz w:val="32"/>
          <w:szCs w:val="32"/>
        </w:rPr>
        <w:t>是</w:t>
      </w:r>
      <w:r>
        <w:rPr>
          <w:rFonts w:ascii="方正楷体_GBK" w:eastAsia="方正楷体_GBK" w:hint="eastAsia"/>
          <w:b/>
          <w:bCs/>
          <w:color w:val="000000"/>
          <w:spacing w:val="-6"/>
          <w:sz w:val="32"/>
          <w:szCs w:val="32"/>
        </w:rPr>
        <w:t>民营企业</w:t>
      </w:r>
      <w:r>
        <w:rPr>
          <w:rFonts w:ascii="方正楷体_GBK" w:eastAsia="方正楷体_GBK"/>
          <w:b/>
          <w:bCs/>
          <w:color w:val="000000"/>
          <w:spacing w:val="-6"/>
          <w:sz w:val="32"/>
          <w:szCs w:val="32"/>
        </w:rPr>
        <w:t>出口占比超8成</w:t>
      </w:r>
      <w:r>
        <w:rPr>
          <w:rFonts w:ascii="方正楷体_GBK" w:eastAsia="方正楷体_GBK" w:hint="eastAsia"/>
          <w:b/>
          <w:bCs/>
          <w:color w:val="000000"/>
          <w:spacing w:val="-6"/>
          <w:sz w:val="32"/>
          <w:szCs w:val="32"/>
        </w:rPr>
        <w:t>。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前5个月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，深圳市民营企业出口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锂电池349.6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亿元，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增长54.6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%，占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82.3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%。同期，外商投资企业出口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70.3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亿元，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增长30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%，占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16.5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%；国有企业出口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5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亿元，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下降40.9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%。</w:t>
      </w:r>
    </w:p>
    <w:p>
      <w:pPr>
        <w:pStyle w:val="29"/>
        <w:spacing w:line="560" w:lineRule="exact"/>
        <w:ind w:firstLine="570"/>
        <w:rPr>
          <w:rFonts w:ascii="Times New Roman" w:eastAsia="方正仿宋_GBK" w:hAnsi="Times New Roman"/>
          <w:color w:val="000000"/>
          <w:spacing w:val="-6"/>
          <w:sz w:val="32"/>
          <w:szCs w:val="32"/>
        </w:rPr>
      </w:pPr>
      <w:r>
        <w:rPr>
          <w:rFonts w:ascii="方正楷体_GBK" w:eastAsia="方正楷体_GBK" w:hint="eastAsia"/>
          <w:b/>
          <w:bCs/>
          <w:color w:val="000000"/>
          <w:spacing w:val="-6"/>
          <w:sz w:val="32"/>
          <w:szCs w:val="32"/>
        </w:rPr>
        <w:t>三</w:t>
      </w:r>
      <w:r>
        <w:rPr>
          <w:rFonts w:ascii="方正楷体_GBK" w:eastAsia="方正楷体_GBK"/>
          <w:b/>
          <w:bCs/>
          <w:color w:val="000000"/>
          <w:spacing w:val="-6"/>
          <w:sz w:val="32"/>
          <w:szCs w:val="32"/>
        </w:rPr>
        <w:t>是</w:t>
      </w:r>
      <w:r>
        <w:rPr>
          <w:rFonts w:ascii="Times New Roman" w:eastAsia="方正楷体_GBK" w:hAnsi="Times New Roman"/>
          <w:b/>
          <w:sz w:val="32"/>
          <w:szCs w:val="32"/>
        </w:rPr>
        <w:t>欧盟、东盟为主要出口</w:t>
      </w:r>
      <w:r>
        <w:rPr>
          <w:rFonts w:ascii="Times New Roman" w:eastAsia="方正楷体_GBK" w:hAnsi="Times New Roman" w:hint="eastAsia"/>
          <w:b/>
          <w:sz w:val="32"/>
          <w:szCs w:val="32"/>
        </w:rPr>
        <w:t>市场，对</w:t>
      </w:r>
      <w:r>
        <w:rPr>
          <w:rFonts w:ascii="Times New Roman" w:eastAsia="方正楷体_GBK" w:hAnsi="Times New Roman"/>
          <w:b/>
          <w:sz w:val="32"/>
          <w:szCs w:val="32"/>
        </w:rPr>
        <w:t>智利、澳大利亚、沙特阿拉伯、尼日利亚等</w:t>
      </w:r>
      <w:r>
        <w:rPr>
          <w:rFonts w:ascii="Times New Roman" w:eastAsia="方正楷体_GBK" w:hAnsi="Times New Roman" w:hint="eastAsia"/>
          <w:b/>
          <w:sz w:val="32"/>
          <w:szCs w:val="32"/>
        </w:rPr>
        <w:t>出口</w:t>
      </w:r>
      <w:r>
        <w:rPr>
          <w:rFonts w:ascii="Times New Roman" w:eastAsia="方正楷体_GBK" w:hAnsi="Times New Roman"/>
          <w:b/>
          <w:sz w:val="32"/>
          <w:szCs w:val="32"/>
        </w:rPr>
        <w:t>倍增</w:t>
      </w:r>
      <w:r>
        <w:rPr>
          <w:rFonts w:ascii="方正楷体_GBK" w:eastAsia="方正楷体_GBK" w:hint="eastAsia"/>
          <w:b/>
          <w:bCs/>
          <w:color w:val="000000"/>
          <w:spacing w:val="-6"/>
          <w:sz w:val="32"/>
          <w:szCs w:val="32"/>
        </w:rPr>
        <w:t>。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前5个月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，深圳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市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对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欧盟出口锂电池157.6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亿元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，增长53.3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%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，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占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37.1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%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；对东盟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出口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42.4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亿元，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增长31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%，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占10%</w:t>
      </w:r>
      <w:r>
        <w:rPr>
          <w:rFonts w:ascii="Times New Roman" w:eastAsia="方正仿宋_GBK" w:hAnsi="Times New Roman" w:hint="eastAsia"/>
          <w:color w:val="000000"/>
          <w:spacing w:val="-6"/>
          <w:sz w:val="32"/>
          <w:szCs w:val="32"/>
        </w:rPr>
        <w:t>。</w:t>
      </w:r>
      <w:r>
        <w:rPr>
          <w:rFonts w:ascii="Times New Roman" w:eastAsia="方正仿宋_GBK" w:hAnsi="Times New Roman"/>
          <w:color w:val="000000"/>
          <w:spacing w:val="-6"/>
          <w:sz w:val="32"/>
          <w:szCs w:val="32"/>
        </w:rPr>
        <w:t>同期，对智利、澳大利亚、沙特阿拉伯、尼日利亚出口倍增，分别增长1.4倍、1.9倍、11.6倍、3倍。</w:t>
      </w:r>
    </w:p>
    <w:p>
      <w:pPr>
        <w:pStyle w:val="24"/>
        <w:spacing w:beforeLines="50" w:before="120" w:afterLines="50" w:after="120" w:line="560" w:lineRule="exact"/>
        <w:jc w:val="center"/>
        <w:rPr>
          <w:rFonts w:ascii="方正黑体_GBK" w:eastAsia="方正黑体_GBK" w:hint="eastAsia"/>
          <w:sz w:val="28"/>
          <w:szCs w:val="22"/>
          <w:shd w:val="clear" w:color="auto" w:fill="auto"/>
        </w:rPr>
      </w:pPr>
      <w:bookmarkEnd w:id="2"/>
      <w:r>
        <w:rPr>
          <w:rFonts w:ascii="方正黑体_GBK" w:eastAsia="方正黑体_GBK" w:hint="eastAsia"/>
          <w:sz w:val="28"/>
          <w:szCs w:val="22"/>
          <w:shd w:val="clear" w:color="auto" w:fill="auto"/>
        </w:rPr>
        <w:t>2026年</w:t>
      </w:r>
      <w:r>
        <w:rPr>
          <w:rFonts w:ascii="方正黑体_GBK" w:eastAsia="方正黑体_GBK"/>
          <w:sz w:val="28"/>
          <w:szCs w:val="22"/>
          <w:shd w:val="clear" w:color="auto" w:fill="auto"/>
        </w:rPr>
        <w:t>前5个月</w:t>
      </w:r>
      <w:r>
        <w:rPr>
          <w:rFonts w:ascii="方正黑体_GBK" w:eastAsia="方正黑体_GBK" w:hint="eastAsia"/>
          <w:sz w:val="28"/>
          <w:szCs w:val="22"/>
          <w:shd w:val="clear" w:color="auto" w:fill="auto"/>
        </w:rPr>
        <w:t>深圳市锂电池出口主要市场情况表</w:t>
      </w:r>
    </w:p>
    <w:p>
      <w:pPr>
        <w:pStyle w:val="68"/>
        <w:autoSpaceDN w:val="0"/>
        <w:spacing w:line="560" w:lineRule="exact"/>
        <w:jc w:val="right"/>
        <w:rPr>
          <w:rFonts w:ascii="Times New Roman" w:eastAsia="方正黑体_GBK" w:hAnsi="Times New Roman"/>
          <w:sz w:val="32"/>
          <w:szCs w:val="32"/>
        </w:rPr>
      </w:pPr>
      <w:r>
        <w:rPr>
          <w:rFonts w:eastAsia="方正仿宋_GBK" w:hint="eastAsia"/>
          <w:bCs/>
        </w:rPr>
        <w:t>单位：亿元人民币</w:t>
      </w:r>
      <w:r>
        <w:rPr>
          <w:rFonts w:ascii="Times New Roman" w:eastAsia="方正仿宋_GBK" w:hAnsi="Times New Roman" w:hint="eastAsia"/>
          <w:bCs/>
          <w:sz w:val="24"/>
          <w:szCs w:val="24"/>
        </w:rPr>
        <w:t>，</w:t>
      </w:r>
      <w:r>
        <w:rPr>
          <w:rFonts w:ascii="Times New Roman" w:eastAsia="方正仿宋_GBK" w:hAnsi="Times New Roman"/>
          <w:bCs/>
          <w:sz w:val="24"/>
          <w:szCs w:val="24"/>
        </w:rPr>
        <w:t>%</w:t>
      </w:r>
      <w:r>
        <w:rPr>
          <w:rFonts w:ascii="Times New Roman" w:eastAsia="方正仿宋_GBK" w:hAnsi="Times New Roman" w:hint="eastAsia"/>
          <w:bCs/>
          <w:sz w:val="24"/>
          <w:szCs w:val="24"/>
        </w:rPr>
        <w:t>，</w:t>
      </w:r>
      <w:r>
        <w:rPr>
          <w:rFonts w:ascii="Times New Roman" w:eastAsia="方正仿宋_GBK" w:hAnsi="Times New Roman"/>
          <w:bCs/>
          <w:sz w:val="24"/>
          <w:szCs w:val="24"/>
        </w:rPr>
        <w:t>%</w:t>
      </w:r>
    </w:p>
    <w:tbl>
      <w:tblPr>
        <w:jc w:val="center"/>
        <w:tblW w:w="5000" w:type="pct"/>
        <w:tbl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6" w:space="0" w:color="CCE8CF"/>
          <w:insideV w:val="single" w:sz="6" w:space="0" w:color="CCE8CF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7"/>
        <w:gridCol w:w="2443"/>
        <w:gridCol w:w="1683"/>
        <w:gridCol w:w="1645"/>
      </w:tblGrid>
      <w:tr>
        <w:trPr>
          <w:trHeight w:val="581"/>
        </w:trPr>
        <w:tc>
          <w:tcPr>
            <w:tcW w:w="1814" w:type="pct"/>
            <w:vMerge w:val="restart"/>
            <w:tcBorders>
              <w:top w:val="single" w:sz="8" w:space="0" w:color="CCE8CF"/>
              <w:left w:val="single" w:sz="8" w:space="0" w:color="CCE8CF"/>
              <w:bottom w:val="nil"/>
              <w:right w:val="single" w:sz="8" w:space="0" w:color="CCE8CF"/>
              <w:tl2br w:val="nil"/>
              <w:tr2bl w:val="nil"/>
            </w:tcBorders>
            <w:shd w:val="clear" w:color="auto" w:fill="4BACC6"/>
            <w:vAlign w:val="center"/>
          </w:tcPr>
          <w:p>
            <w:pPr>
              <w:pStyle w:val="24"/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出口</w:t>
            </w: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市场</w:t>
            </w:r>
          </w:p>
        </w:tc>
        <w:tc>
          <w:tcPr>
            <w:tcW w:w="3185" w:type="pct"/>
            <w:gridSpan w:val="3"/>
            <w:tcBorders>
              <w:top w:val="single" w:sz="8" w:space="0" w:color="CCE8CF"/>
              <w:left w:val="single" w:sz="8" w:space="0" w:color="CCE8CF"/>
              <w:bottom w:val="single" w:sz="24" w:space="0" w:color="CCE8CF"/>
              <w:right w:val="single" w:sz="8" w:space="0" w:color="CCE8CF"/>
              <w:tl2br w:val="nil"/>
              <w:tr2bl w:val="nil"/>
            </w:tcBorders>
            <w:shd w:val="clear" w:color="auto" w:fill="4BACC6"/>
            <w:vAlign w:val="center"/>
          </w:tcPr>
          <w:p>
            <w:pPr>
              <w:pStyle w:val="24"/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6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20"/>
                <w:szCs w:val="20"/>
              </w:rPr>
              <w:t>年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20"/>
                <w:szCs w:val="20"/>
              </w:rPr>
              <w:t>前5个月</w:t>
            </w:r>
          </w:p>
        </w:tc>
      </w:tr>
      <w:tr>
        <w:trPr>
          <w:trHeight w:val="569"/>
        </w:trPr>
        <w:tc>
          <w:tcPr>
            <w:tcW w:w="4340" w:type="pct"/>
            <w:vMerge/>
            <w:tcBorders>
              <w:top w:val="single" w:sz="8" w:space="0" w:color="CCE8CF"/>
              <w:left w:val="single" w:sz="8" w:space="0" w:color="CCE8CF"/>
              <w:bottom w:val="nil"/>
              <w:right w:val="single" w:sz="8" w:space="0" w:color="CCE8CF"/>
              <w:tl2br w:val="nil"/>
              <w:tr2bl w:val="nil"/>
            </w:tcBorders>
            <w:vAlign w:val="center"/>
          </w:tcPr>
          <w:p/>
        </w:tc>
        <w:tc>
          <w:tcPr>
            <w:tcW w:w="1348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  <w:tl2br w:val="nil"/>
              <w:tr2bl w:val="nil"/>
            </w:tcBorders>
            <w:shd w:val="clear" w:color="auto" w:fill="A5D5E2"/>
            <w:vAlign w:val="center"/>
          </w:tcPr>
          <w:p>
            <w:pPr>
              <w:pStyle w:val="24"/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出口值</w:t>
            </w:r>
          </w:p>
        </w:tc>
        <w:tc>
          <w:tcPr>
            <w:tcW w:w="929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  <w:tl2br w:val="nil"/>
              <w:tr2bl w:val="nil"/>
            </w:tcBorders>
            <w:shd w:val="clear" w:color="auto" w:fill="A5D5E2"/>
            <w:vAlign w:val="center"/>
          </w:tcPr>
          <w:p>
            <w:pPr>
              <w:pStyle w:val="24"/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同比</w:t>
            </w:r>
          </w:p>
        </w:tc>
        <w:tc>
          <w:tcPr>
            <w:tcW w:w="908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  <w:tl2br w:val="nil"/>
              <w:tr2bl w:val="nil"/>
            </w:tcBorders>
            <w:shd w:val="clear" w:color="auto" w:fill="A5D5E2"/>
            <w:vAlign w:val="center"/>
          </w:tcPr>
          <w:p>
            <w:pPr>
              <w:pStyle w:val="24"/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占比</w:t>
            </w:r>
          </w:p>
        </w:tc>
      </w:tr>
      <w:tr>
        <w:trPr>
          <w:trHeight w:hRule="exact" w:val="340"/>
        </w:trPr>
        <w:tc>
          <w:tcPr>
            <w:tcW w:w="1814" w:type="pct"/>
            <w:tcBorders>
              <w:top w:val="single" w:sz="6" w:space="0" w:color="CCE8CF"/>
              <w:left w:val="single" w:sz="8" w:space="0" w:color="CCE8CF"/>
              <w:bottom w:val="nil"/>
              <w:right w:val="single" w:sz="24" w:space="0" w:color="CCE8CF"/>
              <w:tl2br w:val="nil"/>
              <w:tr2bl w:val="nil"/>
            </w:tcBorders>
            <w:shd w:val="clear" w:color="auto" w:fill="4BACC6"/>
            <w:vAlign w:val="center"/>
          </w:tcPr>
          <w:p>
            <w:pPr>
              <w:pStyle w:val="77"/>
              <w:widowControl/>
              <w:adjustRightInd w:val="0"/>
              <w:snapToGrid w:val="0"/>
              <w:jc w:val="center"/>
              <w:rPr>
                <w:rFonts w:eastAsia="方正仿宋_GBK" w:cs="Times New Roman" w:hint="eastAsia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eastAsia="方正仿宋_GBK" w:cs="Times New Roman" w:hint="eastAsia"/>
                <w:b w:val="0"/>
                <w:bCs/>
                <w:sz w:val="24"/>
                <w:szCs w:val="24"/>
                <w:shd w:val="clear" w:color="auto" w:fill="auto"/>
              </w:rPr>
              <w:t>欧盟</w:t>
            </w:r>
          </w:p>
        </w:tc>
        <w:tc>
          <w:tcPr>
            <w:tcW w:w="1348" w:type="pct"/>
            <w:tcBorders>
              <w:top w:val="single" w:sz="8" w:space="0" w:color="CCE8CF"/>
              <w:left w:val="single" w:sz="6" w:space="0" w:color="CCE8CF"/>
              <w:bottom w:val="single" w:sz="6" w:space="0" w:color="CCE8CF"/>
              <w:right w:val="single" w:sz="6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36"/>
              <w:jc w:val="right"/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  <w:t>157.6</w:t>
            </w:r>
          </w:p>
        </w:tc>
        <w:tc>
          <w:tcPr>
            <w:tcW w:w="929" w:type="pct"/>
            <w:tcBorders>
              <w:top w:val="single" w:sz="8" w:space="0" w:color="CCE8CF"/>
              <w:left w:val="single" w:sz="6" w:space="0" w:color="CCE8CF"/>
              <w:bottom w:val="single" w:sz="6" w:space="0" w:color="CCE8CF"/>
              <w:right w:val="single" w:sz="6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36"/>
              <w:jc w:val="right"/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  <w:t>53.3</w:t>
            </w:r>
          </w:p>
        </w:tc>
        <w:tc>
          <w:tcPr>
            <w:tcW w:w="908" w:type="pct"/>
            <w:tcBorders>
              <w:top w:val="single" w:sz="8" w:space="0" w:color="CCE8CF"/>
              <w:left w:val="single" w:sz="6" w:space="0" w:color="CCE8CF"/>
              <w:bottom w:val="single" w:sz="6" w:space="0" w:color="CCE8CF"/>
              <w:right w:val="single" w:sz="8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36"/>
              <w:jc w:val="right"/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  <w:t>37.1</w:t>
            </w:r>
          </w:p>
        </w:tc>
      </w:tr>
      <w:tr>
        <w:trPr>
          <w:trHeight w:hRule="exact" w:val="340"/>
        </w:trPr>
        <w:tc>
          <w:tcPr>
            <w:tcW w:w="1814" w:type="pct"/>
            <w:tcBorders>
              <w:top w:val="single" w:sz="6" w:space="0" w:color="CCE8CF"/>
              <w:left w:val="single" w:sz="8" w:space="0" w:color="CCE8CF"/>
              <w:bottom w:val="nil"/>
              <w:right w:val="single" w:sz="24" w:space="0" w:color="CCE8CF"/>
              <w:tl2br w:val="nil"/>
              <w:tr2bl w:val="nil"/>
            </w:tcBorders>
            <w:shd w:val="clear" w:color="auto" w:fill="4BACC6"/>
            <w:vAlign w:val="center"/>
          </w:tcPr>
          <w:p>
            <w:pPr>
              <w:pStyle w:val="77"/>
              <w:widowControl/>
              <w:adjustRightInd w:val="0"/>
              <w:snapToGrid w:val="0"/>
              <w:jc w:val="center"/>
              <w:rPr>
                <w:rFonts w:eastAsia="方正仿宋_GBK" w:cs="Times New Roman" w:hint="eastAsia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eastAsia="方正仿宋_GBK" w:cs="Times New Roman" w:hint="eastAsia"/>
                <w:b w:val="0"/>
                <w:bCs/>
                <w:sz w:val="24"/>
                <w:szCs w:val="24"/>
                <w:shd w:val="clear" w:color="auto" w:fill="auto"/>
              </w:rPr>
              <w:t>东盟</w:t>
            </w:r>
          </w:p>
        </w:tc>
        <w:tc>
          <w:tcPr>
            <w:tcW w:w="1348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36"/>
              <w:jc w:val="right"/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  <w:t>42.4</w:t>
            </w:r>
          </w:p>
        </w:tc>
        <w:tc>
          <w:tcPr>
            <w:tcW w:w="929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36"/>
              <w:jc w:val="right"/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  <w:t>31.0</w:t>
            </w:r>
          </w:p>
        </w:tc>
        <w:tc>
          <w:tcPr>
            <w:tcW w:w="908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8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36"/>
              <w:jc w:val="right"/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  <w:t>10.0</w:t>
            </w:r>
          </w:p>
        </w:tc>
      </w:tr>
      <w:tr>
        <w:trPr>
          <w:trHeight w:hRule="exact" w:val="340"/>
        </w:trPr>
        <w:tc>
          <w:tcPr>
            <w:tcW w:w="1814" w:type="pct"/>
            <w:tcBorders>
              <w:top w:val="single" w:sz="6" w:space="0" w:color="CCE8CF"/>
              <w:left w:val="single" w:sz="8" w:space="0" w:color="CCE8CF"/>
              <w:bottom w:val="nil"/>
              <w:right w:val="single" w:sz="24" w:space="0" w:color="CCE8CF"/>
              <w:tl2br w:val="nil"/>
              <w:tr2bl w:val="nil"/>
            </w:tcBorders>
            <w:shd w:val="clear" w:color="auto" w:fill="4BACC6"/>
            <w:vAlign w:val="center"/>
          </w:tcPr>
          <w:p>
            <w:pPr>
              <w:pStyle w:val="77"/>
              <w:widowControl/>
              <w:adjustRightInd w:val="0"/>
              <w:snapToGrid w:val="0"/>
              <w:jc w:val="center"/>
              <w:rPr>
                <w:rFonts w:eastAsia="方正仿宋_GBK" w:cs="Times New Roman" w:hint="eastAsia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eastAsia="方正仿宋_GBK" w:cs="Times New Roman" w:hint="eastAsia"/>
                <w:b w:val="0"/>
                <w:bCs/>
                <w:sz w:val="24"/>
                <w:szCs w:val="24"/>
                <w:shd w:val="clear" w:color="auto" w:fill="auto"/>
              </w:rPr>
              <w:t>美国</w:t>
            </w:r>
          </w:p>
        </w:tc>
        <w:tc>
          <w:tcPr>
            <w:tcW w:w="1348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36"/>
              <w:jc w:val="right"/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  <w:t>41.8</w:t>
            </w:r>
          </w:p>
        </w:tc>
        <w:tc>
          <w:tcPr>
            <w:tcW w:w="929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36"/>
              <w:jc w:val="right"/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  <w:t>-10.2</w:t>
            </w:r>
          </w:p>
        </w:tc>
        <w:tc>
          <w:tcPr>
            <w:tcW w:w="908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8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36"/>
              <w:jc w:val="right"/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  <w:t>9.8</w:t>
            </w:r>
          </w:p>
        </w:tc>
      </w:tr>
      <w:tr>
        <w:trPr>
          <w:trHeight w:hRule="exact" w:val="340"/>
        </w:trPr>
        <w:tc>
          <w:tcPr>
            <w:tcW w:w="1814" w:type="pct"/>
            <w:tcBorders>
              <w:top w:val="single" w:sz="8" w:space="0" w:color="CCE8CF"/>
              <w:left w:val="single" w:sz="8" w:space="0" w:color="CCE8CF"/>
              <w:bottom w:val="nil"/>
              <w:right w:val="single" w:sz="24" w:space="0" w:color="CCE8CF"/>
              <w:tl2br w:val="nil"/>
              <w:tr2bl w:val="nil"/>
            </w:tcBorders>
            <w:shd w:val="clear" w:color="auto" w:fill="4BACC6"/>
            <w:vAlign w:val="center"/>
          </w:tcPr>
          <w:p>
            <w:pPr>
              <w:pStyle w:val="77"/>
              <w:widowControl/>
              <w:adjustRightInd w:val="0"/>
              <w:snapToGrid w:val="0"/>
              <w:jc w:val="center"/>
              <w:rPr>
                <w:rFonts w:eastAsia="方正仿宋_GBK" w:cs="Times New Roman" w:hint="eastAsia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eastAsia="方正仿宋_GBK" w:cs="Times New Roman"/>
                <w:b w:val="0"/>
                <w:bCs/>
                <w:sz w:val="24"/>
                <w:szCs w:val="24"/>
                <w:shd w:val="clear" w:color="auto" w:fill="auto"/>
              </w:rPr>
              <w:t>日本</w:t>
            </w:r>
          </w:p>
        </w:tc>
        <w:tc>
          <w:tcPr>
            <w:tcW w:w="1348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36"/>
              <w:jc w:val="right"/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  <w:t>22.8</w:t>
            </w:r>
          </w:p>
        </w:tc>
        <w:tc>
          <w:tcPr>
            <w:tcW w:w="929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36"/>
              <w:jc w:val="right"/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  <w:t>79.7</w:t>
            </w:r>
          </w:p>
        </w:tc>
        <w:tc>
          <w:tcPr>
            <w:tcW w:w="908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36"/>
              <w:jc w:val="right"/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  <w:t>5.4</w:t>
            </w:r>
          </w:p>
        </w:tc>
      </w:tr>
      <w:tr>
        <w:trPr>
          <w:trHeight w:hRule="exact" w:val="340"/>
        </w:trPr>
        <w:tc>
          <w:tcPr>
            <w:tcW w:w="1814" w:type="pct"/>
            <w:tcBorders>
              <w:top w:val="single" w:sz="6" w:space="0" w:color="CCE8CF"/>
              <w:left w:val="single" w:sz="8" w:space="0" w:color="CCE8CF"/>
              <w:bottom w:val="single" w:sz="6" w:space="0" w:color="CCE8CF"/>
              <w:right w:val="single" w:sz="24" w:space="0" w:color="CCE8CF"/>
              <w:tl2br w:val="nil"/>
              <w:tr2bl w:val="nil"/>
            </w:tcBorders>
            <w:shd w:val="clear" w:color="auto" w:fill="4BACC6"/>
            <w:vAlign w:val="center"/>
          </w:tcPr>
          <w:p>
            <w:pPr>
              <w:pStyle w:val="77"/>
              <w:widowControl/>
              <w:adjustRightInd w:val="0"/>
              <w:snapToGrid w:val="0"/>
              <w:jc w:val="center"/>
              <w:rPr>
                <w:rFonts w:eastAsia="方正仿宋_GBK" w:cs="Times New Roman" w:hint="eastAsia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eastAsia="方正仿宋_GBK" w:cs="Times New Roman"/>
                <w:b w:val="0"/>
                <w:bCs/>
                <w:sz w:val="24"/>
                <w:szCs w:val="24"/>
                <w:shd w:val="clear" w:color="auto" w:fill="auto"/>
              </w:rPr>
              <w:t>印度</w:t>
            </w:r>
          </w:p>
        </w:tc>
        <w:tc>
          <w:tcPr>
            <w:tcW w:w="1348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36"/>
              <w:jc w:val="right"/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  <w:t>20.8</w:t>
            </w:r>
          </w:p>
        </w:tc>
        <w:tc>
          <w:tcPr>
            <w:tcW w:w="929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36"/>
              <w:jc w:val="right"/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  <w:t>8.9</w:t>
            </w:r>
          </w:p>
        </w:tc>
        <w:tc>
          <w:tcPr>
            <w:tcW w:w="908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8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36"/>
              <w:jc w:val="right"/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  <w:t>4.9</w:t>
            </w:r>
          </w:p>
        </w:tc>
      </w:tr>
      <w:tr>
        <w:trPr>
          <w:trHeight w:hRule="exact" w:val="340"/>
        </w:trPr>
        <w:tc>
          <w:tcPr>
            <w:tcW w:w="1814" w:type="pct"/>
            <w:tcBorders>
              <w:top w:val="single" w:sz="8" w:space="0" w:color="CCE8CF"/>
              <w:left w:val="single" w:sz="8" w:space="0" w:color="CCE8CF"/>
              <w:bottom w:val="nil"/>
              <w:right w:val="single" w:sz="24" w:space="0" w:color="CCE8CF"/>
              <w:tl2br w:val="nil"/>
              <w:tr2bl w:val="nil"/>
            </w:tcBorders>
            <w:shd w:val="clear" w:color="auto" w:fill="4BACC6"/>
            <w:vAlign w:val="center"/>
          </w:tcPr>
          <w:p>
            <w:pPr>
              <w:pStyle w:val="77"/>
              <w:widowControl/>
              <w:adjustRightInd w:val="0"/>
              <w:snapToGrid w:val="0"/>
              <w:jc w:val="center"/>
              <w:rPr>
                <w:rFonts w:eastAsia="方正仿宋_GBK" w:cs="Times New Roman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eastAsia="方正仿宋_GBK" w:cs="Times New Roman"/>
                <w:b w:val="0"/>
                <w:bCs/>
                <w:sz w:val="24"/>
                <w:szCs w:val="24"/>
                <w:shd w:val="clear" w:color="auto" w:fill="auto"/>
              </w:rPr>
              <w:t>智利</w:t>
            </w:r>
          </w:p>
        </w:tc>
        <w:tc>
          <w:tcPr>
            <w:tcW w:w="1348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36"/>
              <w:jc w:val="right"/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  <w:t>11.7</w:t>
            </w:r>
          </w:p>
        </w:tc>
        <w:tc>
          <w:tcPr>
            <w:tcW w:w="929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36"/>
              <w:jc w:val="right"/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  <w:t>137.2</w:t>
            </w:r>
          </w:p>
        </w:tc>
        <w:tc>
          <w:tcPr>
            <w:tcW w:w="908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36"/>
              <w:jc w:val="right"/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  <w:t>2.7</w:t>
            </w:r>
          </w:p>
        </w:tc>
      </w:tr>
      <w:tr>
        <w:trPr>
          <w:trHeight w:hRule="exact" w:val="340"/>
        </w:trPr>
        <w:tc>
          <w:tcPr>
            <w:tcW w:w="1814" w:type="pct"/>
            <w:tcBorders>
              <w:top w:val="single" w:sz="8" w:space="0" w:color="CCE8CF"/>
              <w:left w:val="single" w:sz="8" w:space="0" w:color="CCE8CF"/>
              <w:bottom w:val="nil"/>
              <w:right w:val="single" w:sz="24" w:space="0" w:color="CCE8CF"/>
              <w:tl2br w:val="nil"/>
              <w:tr2bl w:val="nil"/>
            </w:tcBorders>
            <w:shd w:val="clear" w:color="auto" w:fill="4BACC6"/>
            <w:vAlign w:val="center"/>
          </w:tcPr>
          <w:p>
            <w:pPr>
              <w:pStyle w:val="77"/>
              <w:widowControl/>
              <w:adjustRightInd w:val="0"/>
              <w:snapToGrid w:val="0"/>
              <w:jc w:val="center"/>
              <w:rPr>
                <w:rFonts w:eastAsia="方正仿宋_GBK" w:cs="Times New Roman" w:hint="eastAsia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eastAsia="方正仿宋_GBK" w:cs="Times New Roman" w:hint="eastAsia"/>
                <w:b w:val="0"/>
                <w:bCs/>
                <w:sz w:val="24"/>
                <w:szCs w:val="24"/>
                <w:shd w:val="clear" w:color="auto" w:fill="auto"/>
              </w:rPr>
              <w:t>澳大利亚</w:t>
            </w:r>
          </w:p>
        </w:tc>
        <w:tc>
          <w:tcPr>
            <w:tcW w:w="1348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36"/>
              <w:jc w:val="right"/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  <w:t>11.7</w:t>
            </w:r>
          </w:p>
        </w:tc>
        <w:tc>
          <w:tcPr>
            <w:tcW w:w="929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36"/>
              <w:jc w:val="right"/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  <w:t>188.5</w:t>
            </w:r>
          </w:p>
        </w:tc>
        <w:tc>
          <w:tcPr>
            <w:tcW w:w="908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36"/>
              <w:jc w:val="right"/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  <w:t>2.7</w:t>
            </w:r>
          </w:p>
        </w:tc>
      </w:tr>
      <w:tr>
        <w:trPr>
          <w:trHeight w:hRule="exact" w:val="340"/>
        </w:trPr>
        <w:tc>
          <w:tcPr>
            <w:tcW w:w="1814" w:type="pct"/>
            <w:tcBorders>
              <w:top w:val="single" w:sz="6" w:space="0" w:color="CCE8CF"/>
              <w:left w:val="single" w:sz="8" w:space="0" w:color="CCE8CF"/>
              <w:bottom w:val="single" w:sz="6" w:space="0" w:color="CCE8CF"/>
              <w:right w:val="single" w:sz="24" w:space="0" w:color="CCE8CF"/>
              <w:tl2br w:val="nil"/>
              <w:tr2bl w:val="nil"/>
            </w:tcBorders>
            <w:shd w:val="clear" w:color="auto" w:fill="4BACC6"/>
            <w:vAlign w:val="center"/>
          </w:tcPr>
          <w:p>
            <w:pPr>
              <w:pStyle w:val="80"/>
              <w:widowControl/>
              <w:adjustRightInd w:val="0"/>
              <w:snapToGrid w:val="0"/>
              <w:jc w:val="center"/>
              <w:rPr>
                <w:rFonts w:eastAsia="方正仿宋_GBK" w:cs="Times New Roman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eastAsia="方正仿宋_GBK" w:cs="Times New Roman"/>
                <w:b w:val="0"/>
                <w:bCs/>
                <w:sz w:val="24"/>
                <w:szCs w:val="24"/>
                <w:shd w:val="clear" w:color="auto" w:fill="auto"/>
              </w:rPr>
              <w:t>沙特阿拉伯</w:t>
            </w:r>
          </w:p>
        </w:tc>
        <w:tc>
          <w:tcPr>
            <w:tcW w:w="1348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36"/>
              <w:jc w:val="right"/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  <w:t>10.0</w:t>
            </w:r>
          </w:p>
        </w:tc>
        <w:tc>
          <w:tcPr>
            <w:tcW w:w="929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36"/>
              <w:jc w:val="right"/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  <w:t>1155.0</w:t>
            </w:r>
          </w:p>
        </w:tc>
        <w:tc>
          <w:tcPr>
            <w:tcW w:w="908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8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36"/>
              <w:jc w:val="right"/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  <w:t>2.4</w:t>
            </w:r>
          </w:p>
        </w:tc>
      </w:tr>
      <w:tr>
        <w:trPr>
          <w:trHeight w:hRule="exact" w:val="340"/>
        </w:trPr>
        <w:tc>
          <w:tcPr>
            <w:tcW w:w="1814" w:type="pct"/>
            <w:tcBorders>
              <w:top w:val="single" w:sz="6" w:space="0" w:color="CCE8CF"/>
              <w:left w:val="single" w:sz="8" w:space="0" w:color="CCE8CF"/>
              <w:bottom w:val="single" w:sz="6" w:space="0" w:color="CCE8CF"/>
              <w:right w:val="single" w:sz="24" w:space="0" w:color="CCE8CF"/>
              <w:tl2br w:val="nil"/>
              <w:tr2bl w:val="nil"/>
            </w:tcBorders>
            <w:shd w:val="clear" w:color="auto" w:fill="4BACC6"/>
            <w:vAlign w:val="center"/>
          </w:tcPr>
          <w:p>
            <w:pPr>
              <w:pStyle w:val="80"/>
              <w:widowControl/>
              <w:adjustRightInd w:val="0"/>
              <w:snapToGrid w:val="0"/>
              <w:jc w:val="center"/>
              <w:rPr>
                <w:rFonts w:eastAsia="方正仿宋_GBK" w:cs="Times New Roman" w:hint="eastAsia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eastAsia="方正仿宋_GBK" w:cs="Times New Roman"/>
                <w:b w:val="0"/>
                <w:bCs/>
                <w:sz w:val="24"/>
                <w:szCs w:val="24"/>
                <w:shd w:val="clear" w:color="auto" w:fill="auto"/>
              </w:rPr>
              <w:t>尼日利亚</w:t>
            </w:r>
          </w:p>
        </w:tc>
        <w:tc>
          <w:tcPr>
            <w:tcW w:w="1348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36"/>
              <w:jc w:val="right"/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  <w:t>8.0</w:t>
            </w:r>
          </w:p>
        </w:tc>
        <w:tc>
          <w:tcPr>
            <w:tcW w:w="929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6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36"/>
              <w:jc w:val="right"/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  <w:t>304.5</w:t>
            </w:r>
          </w:p>
        </w:tc>
        <w:tc>
          <w:tcPr>
            <w:tcW w:w="908" w:type="pct"/>
            <w:tcBorders>
              <w:top w:val="single" w:sz="6" w:space="0" w:color="CCE8CF"/>
              <w:left w:val="single" w:sz="6" w:space="0" w:color="CCE8CF"/>
              <w:bottom w:val="single" w:sz="6" w:space="0" w:color="CCE8CF"/>
              <w:right w:val="single" w:sz="8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36"/>
              <w:jc w:val="right"/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  <w:t>1.9</w:t>
            </w:r>
          </w:p>
        </w:tc>
      </w:tr>
      <w:tr>
        <w:trPr>
          <w:trHeight w:hRule="exact" w:val="340"/>
        </w:trPr>
        <w:tc>
          <w:tcPr>
            <w:tcW w:w="1814" w:type="pct"/>
            <w:tcBorders>
              <w:top w:val="single" w:sz="8" w:space="0" w:color="CCE8CF"/>
              <w:left w:val="single" w:sz="8" w:space="0" w:color="CCE8CF"/>
              <w:bottom w:val="nil"/>
              <w:right w:val="single" w:sz="24" w:space="0" w:color="CCE8CF"/>
              <w:tl2br w:val="nil"/>
              <w:tr2bl w:val="nil"/>
            </w:tcBorders>
            <w:shd w:val="clear" w:color="auto" w:fill="4BACC6"/>
            <w:vAlign w:val="center"/>
          </w:tcPr>
          <w:p>
            <w:pPr>
              <w:pStyle w:val="77"/>
              <w:widowControl/>
              <w:adjustRightInd w:val="0"/>
              <w:snapToGrid w:val="0"/>
              <w:jc w:val="center"/>
              <w:rPr>
                <w:rFonts w:eastAsia="方正仿宋_GBK" w:cs="Times New Roman" w:hint="eastAsia"/>
                <w:b w:val="0"/>
                <w:bCs/>
                <w:sz w:val="24"/>
                <w:szCs w:val="24"/>
                <w:shd w:val="clear" w:color="auto" w:fill="auto"/>
              </w:rPr>
            </w:pPr>
            <w:r>
              <w:rPr>
                <w:rFonts w:eastAsia="方正仿宋_GBK" w:cs="Times New Roman"/>
                <w:b w:val="0"/>
                <w:bCs/>
                <w:sz w:val="24"/>
                <w:szCs w:val="24"/>
                <w:shd w:val="clear" w:color="auto" w:fill="auto"/>
              </w:rPr>
              <w:t>香港地区</w:t>
            </w:r>
          </w:p>
        </w:tc>
        <w:tc>
          <w:tcPr>
            <w:tcW w:w="1348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36"/>
              <w:jc w:val="right"/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  <w:t>7.8</w:t>
            </w:r>
          </w:p>
        </w:tc>
        <w:tc>
          <w:tcPr>
            <w:tcW w:w="929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36"/>
              <w:jc w:val="right"/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  <w:t>0.4</w:t>
            </w:r>
          </w:p>
        </w:tc>
        <w:tc>
          <w:tcPr>
            <w:tcW w:w="908" w:type="pct"/>
            <w:tcBorders>
              <w:top w:val="single" w:sz="8" w:space="0" w:color="CCE8CF"/>
              <w:left w:val="single" w:sz="8" w:space="0" w:color="CCE8CF"/>
              <w:bottom w:val="single" w:sz="8" w:space="0" w:color="CCE8CF"/>
              <w:right w:val="single" w:sz="8" w:space="0" w:color="CCE8CF"/>
              <w:tl2br w:val="nil"/>
              <w:tr2bl w:val="nil"/>
            </w:tcBorders>
            <w:shd w:val="clear" w:color="auto" w:fill="B6DDE8"/>
            <w:vAlign w:val="center"/>
          </w:tcPr>
          <w:p>
            <w:pPr>
              <w:pStyle w:val="36"/>
              <w:jc w:val="right"/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</w:pPr>
            <w:r>
              <w:rPr>
                <w:rFonts w:ascii="Times New Roman" w:eastAsia="Microsoft YaHei" w:hAnsi="Times New Roman"/>
                <w:color w:val="000000"/>
                <w:sz w:val="24"/>
                <w:szCs w:val="24"/>
                <w:shd w:val="clear" w:color="auto" w:fill="auto"/>
              </w:rPr>
              <w:t>1.8</w:t>
            </w:r>
          </w:p>
        </w:tc>
      </w:tr>
    </w:tbl>
    <w:p>
      <w:pPr>
        <w:pStyle w:val="24"/>
        <w:spacing w:line="560" w:lineRule="exact"/>
        <w:ind w:firstLineChars="200" w:firstLine="616"/>
        <w:jc w:val="both"/>
        <w:rPr>
          <w:rFonts w:ascii="Times New Roman" w:eastAsia="方正仿宋_GBK" w:hAnsi="Times New Roman" w:hint="eastAsia"/>
          <w:spacing w:val="-6"/>
          <w:sz w:val="32"/>
          <w:szCs w:val="32"/>
        </w:rPr>
      </w:pPr>
    </w:p>
    <w:p>
      <w:pPr>
        <w:pStyle w:val="29"/>
        <w:spacing w:line="560" w:lineRule="exact"/>
        <w:ind w:firstLine="570"/>
        <w:rPr>
          <w:rFonts w:ascii="Times New Roman" w:eastAsia="方正仿宋_GBK" w:hAnsi="Times New Roman"/>
          <w:color w:val="000000"/>
          <w:spacing w:val="-6"/>
          <w:sz w:val="32"/>
          <w:szCs w:val="32"/>
        </w:rPr>
      </w:pPr>
    </w:p>
    <w:sectPr>
      <w:footerReference w:type="default" r:id="rId2"/>
      <w:pgSz w:w="11906" w:h="16838"/>
      <w:pgMar w:top="2098" w:right="1474" w:bottom="1985" w:left="1588" w:header="1814" w:footer="1474" w:gutter="0"/>
      <w:docGrid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Microsoft YaHei">
    <w:altName w:val="Times New Roman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方正黑体_GBK"/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仿宋_GB2312">
    <w:altName w:val="方正仿宋_GBK"/>
    <w:panose1 w:val="00000000000000000000"/>
    <w:charset w:val="86"/>
    <w:family w:val="modern"/>
    <w:pitch w:val="variable"/>
    <w:sig w:usb0="00000001" w:usb1="080E0000" w:usb2="00000010" w:usb3="00000000" w:csb0="00040000" w:csb1="00000000"/>
  </w:font>
  <w:font w:name="Verdana">
    <w:altName w:val="DejaVu Sans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宋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5"/>
    </w:pPr>
    <w:r>
      <w:rPr>
        <w:rFonts w:hint="eastAsia"/>
      </w:rPr>
      <w:t>—</w:t>
    </w:r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  <w:r>
      <w:t xml:space="preserve"> </w:t>
    </w:r>
    <w:r>
      <w:rPr>
        <w:rFonts w:hint="eastAsia"/>
      </w:rPr>
      <w:t>—</w:t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snapToGrid w:val="0"/>
      <w:jc w:val="center"/>
    </w:pPr>
    <w:rPr>
      <w:rFonts w:eastAsia="方正仿宋_GBK"/>
      <w:spacing w:val="-4"/>
      <w:kern w:val="0"/>
      <w:sz w:val="28"/>
      <w:szCs w:val="20"/>
    </w:rPr>
  </w:style>
  <w:style w:type="paragraph" w:styleId="16">
    <w:name w:val="Plain Text"/>
    <w:basedOn w:val="0"/>
    <w:rPr>
      <w:rFonts w:ascii="宋体"/>
      <w:szCs w:val="20"/>
    </w:rPr>
  </w:style>
  <w:style w:type="paragraph" w:styleId="17">
    <w:name w:val="Document Map"/>
    <w:basedOn w:val="0"/>
    <w:pPr>
      <w:shd w:val="clear" w:color="auto" w:fill="000080"/>
    </w:pPr>
  </w:style>
  <w:style w:type="paragraph" w:styleId="18">
    <w:name w:val="endnote text"/>
    <w:basedOn w:val="0"/>
    <w:pPr>
      <w:snapToGrid w:val="0"/>
      <w:jc w:val="left"/>
    </w:pPr>
    <w:rPr>
      <w:rFonts w:eastAsia="仿宋_GB2312"/>
      <w:sz w:val="32"/>
      <w:szCs w:val="20"/>
    </w:rPr>
  </w:style>
  <w:style w:type="paragraph" w:styleId="19">
    <w:name w:val="Balloon Text"/>
    <w:basedOn w:val="0"/>
    <w:rPr>
      <w:sz w:val="18"/>
      <w:szCs w:val="18"/>
    </w:rPr>
  </w:style>
  <w:style w:type="paragraph" w:styleId="20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21">
    <w:name w:val="Char1"/>
    <w:basedOn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</w:rPr>
  </w:style>
  <w:style w:type="paragraph" w:customStyle="1" w:styleId="22">
    <w:name w:val="样式 10 磅"/>
    <w:next w:val="29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23">
    <w:name w:val="样式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4">
    <w:name w:val="样式 1 小四"/>
    <w:next w:val="45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5">
    <w:name w:val="样式 2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6">
    <w:name w:val="样式 3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7">
    <w:name w:val="样式 4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8">
    <w:name w:val="样式 5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29">
    <w:name w:val="样式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0">
    <w:name w:val="样式 6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styleId="31">
    <w:name w:val="footnote text"/>
    <w:basedOn w:val="0"/>
    <w:pPr>
      <w:snapToGrid w:val="0"/>
      <w:jc w:val="left"/>
    </w:pPr>
    <w:rPr>
      <w:sz w:val="18"/>
      <w:szCs w:val="18"/>
    </w:rPr>
  </w:style>
  <w:style w:type="character" w:styleId="32">
    <w:name w:val="footnote reference"/>
    <w:basedOn w:val="10"/>
    <w:rPr>
      <w:vertAlign w:val="superscript"/>
    </w:rPr>
  </w:style>
  <w:style w:type="paragraph" w:customStyle="1" w:styleId="33">
    <w:name w:val="样式 1 10 磅"/>
    <w:next w:val="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">
    <w:name w:val="样式 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5">
    <w:name w:val="样式 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6">
    <w:name w:val="样式 4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7">
    <w:name w:val="样式 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8">
    <w:name w:val="样式 6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9">
    <w:name w:val="样式 7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character" w:customStyle="1" w:styleId="40">
    <w:name w:val="im-content1"/>
    <w:basedOn w:val="10"/>
    <w:rPr>
      <w:color w:val="000000"/>
    </w:rPr>
  </w:style>
  <w:style w:type="character" w:styleId="41">
    <w:name w:val="endnote reference"/>
    <w:basedOn w:val="10"/>
    <w:rPr>
      <w:vertAlign w:val="superscript"/>
    </w:rPr>
  </w:style>
  <w:style w:type="paragraph" w:customStyle="1" w:styleId="42">
    <w:name w:val="样式 8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3">
    <w:name w:val="样式 9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4">
    <w:name w:val="样式 10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5">
    <w:name w:val="样式 1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6">
    <w:name w:val="样式 1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7">
    <w:name w:val="样式 "/>
    <w:rPr>
      <w:rFonts w:ascii="Times New Roman" w:eastAsia="方正仿宋_GBK" w:cs="Times New Roman" w:hAnsi="Times New Roman"/>
      <w:sz w:val="20"/>
      <w:szCs w:val="20"/>
      <w:vertAlign w:val="superscript"/>
      <w:lang w:val="en-US" w:eastAsia="zh-CN" w:bidi="ar-SA"/>
    </w:rPr>
  </w:style>
  <w:style w:type="paragraph" w:customStyle="1" w:styleId="48">
    <w:name w:val="样式 小五"/>
    <w:pPr>
      <w:widowControl w:val="0"/>
      <w:snapToGrid w:val="0"/>
    </w:pPr>
    <w:rPr>
      <w:rFonts w:ascii="Times New Roman" w:eastAsia="宋体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49">
    <w:name w:val="样式 1 "/>
    <w:rPr>
      <w:rFonts w:ascii="Times New Roman" w:eastAsia="方正仿宋_GBK" w:cs="Times New Roman" w:hAnsi="Times New Roman"/>
      <w:sz w:val="20"/>
      <w:szCs w:val="20"/>
      <w:vertAlign w:val="superscript"/>
      <w:lang w:val="en-US" w:eastAsia="zh-CN" w:bidi="ar-SA"/>
    </w:rPr>
  </w:style>
  <w:style w:type="paragraph" w:customStyle="1" w:styleId="50">
    <w:name w:val="样式 1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1">
    <w:name w:val="样式 14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2">
    <w:name w:val="样式 2 "/>
    <w:rPr>
      <w:rFonts w:ascii="Times New Roman" w:eastAsia="方正仿宋_GBK" w:cs="Times New Roman" w:hAnsi="Times New Roman"/>
      <w:sz w:val="20"/>
      <w:szCs w:val="20"/>
      <w:vertAlign w:val="superscript"/>
      <w:lang w:val="en-US" w:eastAsia="zh-CN" w:bidi="ar-SA"/>
    </w:rPr>
  </w:style>
  <w:style w:type="paragraph" w:customStyle="1" w:styleId="53">
    <w:name w:val="样式 1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4">
    <w:name w:val="样式 1 小五"/>
    <w:pPr>
      <w:widowControl w:val="0"/>
      <w:snapToGrid w:val="0"/>
    </w:pPr>
    <w:rPr>
      <w:rFonts w:ascii="Times New Roman" w:eastAsia="宋体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55">
    <w:name w:val="样式 3 "/>
    <w:rPr>
      <w:rFonts w:ascii="Times New Roman" w:eastAsia="方正仿宋_GBK" w:cs="Times New Roman" w:hAnsi="Times New Roman"/>
      <w:sz w:val="20"/>
      <w:szCs w:val="20"/>
      <w:vertAlign w:val="superscript"/>
      <w:lang w:val="en-US" w:eastAsia="zh-CN" w:bidi="ar-SA"/>
    </w:rPr>
  </w:style>
  <w:style w:type="paragraph" w:customStyle="1" w:styleId="56">
    <w:name w:val="样式 16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57">
    <w:name w:val="样式 2 小五"/>
    <w:pPr>
      <w:widowControl w:val="0"/>
      <w:snapToGrid w:val="0"/>
    </w:pPr>
    <w:rPr>
      <w:rFonts w:ascii="Times New Roman" w:eastAsia="宋体" w:cs="Times New Roman" w:hAnsi="Times New Roman"/>
      <w:kern w:val="2"/>
      <w:sz w:val="18"/>
      <w:szCs w:val="18"/>
      <w:lang w:val="en-US" w:eastAsia="zh-CN" w:bidi="ar-SA"/>
    </w:rPr>
  </w:style>
  <w:style w:type="paragraph" w:customStyle="1" w:styleId="58">
    <w:name w:val="样式 1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59">
    <w:name w:val="样式 18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60">
    <w:name w:val="样式"/>
    <w:rPr>
      <w:rFonts w:ascii="Times New Roman" w:eastAsia="宋体" w:cs="Times New Roman" w:hAnsi="Times New Roman"/>
      <w:sz w:val="20"/>
      <w:szCs w:val="20"/>
      <w:vertAlign w:val="superscript"/>
      <w:lang w:val="en-US" w:eastAsia="zh-CN" w:bidi="ar-SA"/>
    </w:rPr>
  </w:style>
  <w:style w:type="paragraph" w:customStyle="1" w:styleId="61">
    <w:name w:val="样式 1"/>
    <w:rPr>
      <w:rFonts w:ascii="Times New Roman" w:eastAsia="宋体" w:cs="Times New Roman" w:hAnsi="Times New Roman"/>
      <w:sz w:val="20"/>
      <w:szCs w:val="20"/>
      <w:vertAlign w:val="superscript"/>
      <w:lang w:val="en-US" w:eastAsia="zh-CN" w:bidi="ar-SA"/>
    </w:rPr>
  </w:style>
  <w:style w:type="paragraph" w:customStyle="1" w:styleId="62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3">
    <w:name w:val="样式 7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4">
    <w:name w:val="样式 8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5">
    <w:name w:val="样式 9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6">
    <w:name w:val="样式 10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7">
    <w:name w:val="样式 11 小四"/>
    <w:pPr>
      <w:widowControl w:val="0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68">
    <w:name w:val="样式 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9">
    <w:name w:val="样式 20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70">
    <w:name w:val="样式 21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71">
    <w:name w:val="样式 22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72">
    <w:name w:val="样式 2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73">
    <w:name w:val="样式 24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74">
    <w:name w:val="样式 2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75">
    <w:name w:val="样式 26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76">
    <w:name w:val="样式 27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77">
    <w:name w:val="公式样式 矢量矩阵"/>
    <w:autoRedefine/>
    <w:rPr>
      <w:rFonts w:ascii="Times New Roman" w:eastAsia="宋体" w:cs="Times New Roman" w:hAnsi="Times New Roman"/>
      <w:b/>
      <w:i w:val="0"/>
      <w:sz w:val="20"/>
      <w:szCs w:val="20"/>
      <w:lang w:val="en-US" w:eastAsia="zh-CN" w:bidi="ar-SA"/>
    </w:rPr>
  </w:style>
  <w:style w:type="paragraph" w:customStyle="1" w:styleId="78">
    <w:name w:val="样式 28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79">
    <w:name w:val="样式 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0">
    <w:name w:val="样式 30 10 磅"/>
    <w:rPr>
      <w:rFonts w:ascii="Times New Roman" w:eastAsia="宋体" w:cs="Times New Roman" w:hAnsi="Times New Roman"/>
      <w:b/>
      <w:i w:val="0"/>
      <w:sz w:val="20"/>
      <w:szCs w:val="20"/>
      <w:lang w:val="en-US" w:eastAsia="zh-CN" w:bidi="ar-SA"/>
    </w:rPr>
  </w:style>
  <w:style w:type="paragraph" w:customStyle="1" w:styleId="81">
    <w:name w:val="样式 3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2">
    <w:name w:val="样式 32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3">
    <w:name w:val="样式 3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4">
    <w:name w:val="样式 34 10 磅"/>
    <w:rPr>
      <w:rFonts w:ascii="Times New Roman" w:eastAsia="宋体" w:cs="Times New Roman" w:hAnsi="Times New Roman"/>
      <w:b/>
      <w:i w:val="0"/>
      <w:sz w:val="20"/>
      <w:szCs w:val="20"/>
      <w:lang w:val="en-US" w:eastAsia="zh-CN" w:bidi="ar-SA"/>
    </w:rPr>
  </w:style>
  <w:style w:type="paragraph" w:customStyle="1" w:styleId="85">
    <w:name w:val="样式 35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6">
    <w:name w:val="样式 36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7">
    <w:name w:val="样式 37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88">
    <w:name w:val="样式 38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89">
    <w:name w:val="样式 39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90">
    <w:name w:val="样式 40 10 磅"/>
    <w:pPr>
      <w:widowControl w:val="0"/>
      <w:spacing w:line="360" w:lineRule="exact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91">
    <w:name w:val="样式 41 10 磅"/>
    <w:rPr>
      <w:rFonts w:ascii="Times New Roman" w:eastAsia="宋体" w:cs="Times New Roman" w:hAnsi="Times New Roman"/>
      <w:b/>
      <w:i w:val="0"/>
      <w:sz w:val="20"/>
      <w:szCs w:val="20"/>
      <w:lang w:val="en-US" w:eastAsia="zh-CN" w:bidi="ar-SA"/>
    </w:rPr>
  </w:style>
  <w:style w:type="paragraph" w:customStyle="1" w:styleId="92">
    <w:name w:val="样式 42 10 磅"/>
    <w:rPr>
      <w:rFonts w:ascii="Times New Roman" w:eastAsia="宋体" w:cs="Times New Roman" w:hAnsi="Times New Roman"/>
      <w:b/>
      <w:i w:val="0"/>
      <w:sz w:val="20"/>
      <w:szCs w:val="20"/>
      <w:lang w:val="en-US" w:eastAsia="zh-CN" w:bidi="ar-SA"/>
    </w:rPr>
  </w:style>
  <w:style w:type="paragraph" w:customStyle="1" w:styleId="93">
    <w:name w:val="样式 43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94">
    <w:name w:val="样式 44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95">
    <w:name w:val="样式 45 10 磅"/>
    <w:pPr>
      <w:widowControl w:val="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758</TotalTime>
  <Application>Yozo_Office</Application>
  <Pages>2</Pages>
  <Words>516</Words>
  <Characters>707</Characters>
  <Lines>67</Lines>
  <Paragraphs>53</Paragraphs>
  <CharactersWithSpaces>707</CharactersWithSpaces>
  <Company>信息中心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Windows 用户</dc:creator>
  <cp:lastModifiedBy>林静怡</cp:lastModifiedBy>
  <cp:revision>17</cp:revision>
  <dcterms:created xsi:type="dcterms:W3CDTF">2025-05-22T02:37:00Z</dcterms:created>
  <dcterms:modified xsi:type="dcterms:W3CDTF">2026-06-25T02:05:01Z</dcterms:modified>
</cp:coreProperties>
</file>