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/>
          <w:spacing w:val="-6"/>
          <w:sz w:val="44"/>
          <w:szCs w:val="44"/>
          <w:shd w:val="clear" w:color="auto" w:fill="auto"/>
        </w:rPr>
        <w:t>2026年前5个月</w:t>
      </w:r>
      <w:r>
        <w:rPr>
          <w:rFonts w:ascii="方正小标宋_GBK" w:eastAsia="方正小标宋_GBK" w:hint="eastAsia"/>
          <w:spacing w:val="-6"/>
          <w:sz w:val="44"/>
          <w:szCs w:val="44"/>
          <w:shd w:val="clear" w:color="auto" w:fill="auto"/>
        </w:rPr>
        <w:t>深圳市</w:t>
      </w:r>
      <w:r>
        <w:rPr>
          <w:rFonts w:ascii="方正小标宋_GBK" w:eastAsia="方正小标宋_GBK"/>
          <w:spacing w:val="-6"/>
          <w:sz w:val="44"/>
          <w:szCs w:val="44"/>
          <w:shd w:val="clear" w:color="auto" w:fill="auto"/>
        </w:rPr>
        <w:t>电脑</w:t>
      </w:r>
      <w:r>
        <w:rPr>
          <w:rFonts w:ascii="方正小标宋_GBK" w:eastAsia="方正小标宋_GBK" w:hint="eastAsia"/>
          <w:spacing w:val="-6"/>
          <w:sz w:val="44"/>
          <w:szCs w:val="44"/>
          <w:shd w:val="clear" w:color="auto" w:fill="auto"/>
        </w:rPr>
        <w:t>出口</w:t>
      </w:r>
      <w:r>
        <w:rPr>
          <w:rFonts w:ascii="方正小标宋_GBK" w:eastAsia="方正小标宋_GBK"/>
          <w:spacing w:val="-6"/>
          <w:sz w:val="44"/>
          <w:szCs w:val="44"/>
          <w:shd w:val="clear" w:color="auto" w:fill="auto"/>
        </w:rPr>
        <w:t>情况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>
      <w:pPr>
        <w:pStyle w:val="22"/>
        <w:spacing w:line="560" w:lineRule="exact"/>
        <w:ind w:firstLine="586"/>
        <w:rPr>
          <w:rFonts w:ascii="Times New Roman" w:eastAsia="方正仿宋_GBK" w:hAnsi="Times New Roman"/>
          <w:spacing w:val="-6"/>
          <w:sz w:val="32"/>
          <w:szCs w:val="32"/>
        </w:rPr>
      </w:pPr>
      <w:bookmarkStart w:id="1" w:name="dbds__单信息正文__file"/>
      <w:r>
        <w:rPr>
          <w:rFonts w:ascii="Times New Roman" w:eastAsia="方正仿宋_GBK" w:hAnsi="Times New Roman"/>
          <w:spacing w:val="-6"/>
          <w:sz w:val="32"/>
          <w:szCs w:val="32"/>
        </w:rPr>
        <w:t>据海关统计，2026年前5个月，深圳市电脑出口441.5</w:t>
      </w:r>
      <w:r>
        <w:rPr>
          <w:rFonts w:ascii="Times New Roman" w:eastAsia="方正仿宋_GBK" w:hAnsi="Times New Roman" w:hint="eastAsia"/>
          <w:spacing w:val="-6"/>
          <w:sz w:val="32"/>
          <w:szCs w:val="32"/>
        </w:rPr>
        <w:t>亿元，同比（下同）</w:t>
      </w:r>
      <w:r>
        <w:rPr>
          <w:rFonts w:ascii="Times New Roman" w:eastAsia="方正仿宋_GBK" w:hAnsi="Times New Roman"/>
          <w:spacing w:val="-6"/>
          <w:sz w:val="32"/>
          <w:szCs w:val="32"/>
        </w:rPr>
        <w:t>增长21.5</w:t>
      </w:r>
      <w:r>
        <w:rPr>
          <w:rFonts w:ascii="Times New Roman" w:eastAsia="方正仿宋_GBK" w:hAnsi="Times New Roman" w:hint="eastAsia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spacing w:val="-6"/>
          <w:sz w:val="32"/>
          <w:szCs w:val="32"/>
        </w:rPr>
        <w:t>，占同期深圳出口总值的3.6%。其中，笔记本电脑出口209.8亿元，增长23.3%；平板电脑出口206亿元，增长18.6%。</w:t>
      </w:r>
    </w:p>
    <w:p>
      <w:pPr>
        <w:pStyle w:val="22"/>
        <w:spacing w:line="560" w:lineRule="exact"/>
        <w:ind w:firstLine="586"/>
        <w:rPr>
          <w:rFonts w:ascii="方正黑体_GBK" w:eastAsia="方正黑体_GBK" w:hint="eastAsia"/>
          <w:spacing w:val="-6"/>
          <w:sz w:val="32"/>
          <w:szCs w:val="32"/>
          <w:shd w:val="clear" w:color="auto" w:fill="auto"/>
        </w:rPr>
      </w:pPr>
      <w:r>
        <w:rPr>
          <w:rFonts w:ascii="方正黑体_GBK" w:eastAsia="方正黑体_GBK"/>
          <w:spacing w:val="-6"/>
          <w:sz w:val="32"/>
          <w:szCs w:val="32"/>
          <w:shd w:val="clear" w:color="auto" w:fill="auto"/>
        </w:rPr>
        <w:t>前5个月</w:t>
      </w:r>
      <w:r>
        <w:rPr>
          <w:rFonts w:ascii="方正黑体_GBK" w:eastAsia="方正黑体_GBK" w:hint="eastAsia"/>
          <w:spacing w:val="-6"/>
          <w:sz w:val="32"/>
          <w:szCs w:val="32"/>
          <w:shd w:val="clear" w:color="auto" w:fill="auto"/>
        </w:rPr>
        <w:t>深圳</w:t>
      </w:r>
      <w:r>
        <w:rPr>
          <w:rFonts w:ascii="方正黑体_GBK" w:eastAsia="方正黑体_GBK"/>
          <w:spacing w:val="-6"/>
          <w:sz w:val="32"/>
          <w:szCs w:val="32"/>
          <w:shd w:val="clear" w:color="auto" w:fill="auto"/>
        </w:rPr>
        <w:t>市电脑</w:t>
      </w:r>
      <w:r>
        <w:rPr>
          <w:rFonts w:ascii="方正黑体_GBK" w:eastAsia="方正黑体_GBK" w:hint="eastAsia"/>
          <w:spacing w:val="-6"/>
          <w:sz w:val="32"/>
          <w:szCs w:val="32"/>
          <w:shd w:val="clear" w:color="auto" w:fill="auto"/>
        </w:rPr>
        <w:t>出口</w:t>
      </w:r>
      <w:r>
        <w:rPr>
          <w:rFonts w:ascii="方正黑体_GBK" w:eastAsia="方正黑体_GBK" w:hint="eastAsia"/>
          <w:sz w:val="32"/>
          <w:szCs w:val="32"/>
        </w:rPr>
        <w:t>主要呈现以下特点</w:t>
      </w:r>
      <w:r>
        <w:rPr>
          <w:rFonts w:ascii="方正黑体_GBK" w:eastAsia="方正黑体_GBK"/>
          <w:sz w:val="32"/>
          <w:szCs w:val="32"/>
        </w:rPr>
        <w:t>：</w:t>
      </w:r>
    </w:p>
    <w:p>
      <w:pPr>
        <w:pStyle w:val="22"/>
        <w:spacing w:line="560" w:lineRule="exact"/>
        <w:ind w:firstLine="570"/>
        <w:rPr>
          <w:rFonts w:ascii="Times New Roman" w:eastAsia="方正仿宋_GBK" w:hAnsi="Times New Roman"/>
          <w:color w:val="000000"/>
          <w:spacing w:val="-6"/>
          <w:sz w:val="32"/>
          <w:szCs w:val="32"/>
        </w:rPr>
      </w:pPr>
      <w:r>
        <w:rPr>
          <w:rFonts w:ascii="方正楷体_GBK" w:eastAsia="方正楷体_GBK" w:hint="eastAsia"/>
          <w:b/>
          <w:bCs/>
          <w:spacing w:val="-6"/>
          <w:sz w:val="32"/>
          <w:szCs w:val="32"/>
          <w:shd w:val="clear" w:color="auto" w:fill="auto"/>
        </w:rPr>
        <w:t>一是</w:t>
      </w:r>
      <w:r>
        <w:rPr>
          <w:rFonts w:ascii="方正楷体_GBK" w:eastAsia="方正楷体_GBK"/>
          <w:b/>
          <w:bCs/>
          <w:spacing w:val="-6"/>
          <w:sz w:val="32"/>
          <w:szCs w:val="32"/>
          <w:shd w:val="clear" w:color="auto" w:fill="auto"/>
        </w:rPr>
        <w:t>保税物流</w:t>
      </w:r>
      <w:r>
        <w:rPr>
          <w:rFonts w:ascii="方正楷体_GBK" w:eastAsia="方正楷体_GBK" w:hint="eastAsia"/>
          <w:b/>
          <w:bCs/>
          <w:spacing w:val="-6"/>
          <w:sz w:val="32"/>
          <w:szCs w:val="32"/>
          <w:shd w:val="clear" w:color="auto" w:fill="auto"/>
        </w:rPr>
        <w:t>出口占比</w:t>
      </w:r>
      <w:r>
        <w:rPr>
          <w:rFonts w:ascii="方正楷体_GBK" w:eastAsia="方正楷体_GBK"/>
          <w:b/>
          <w:bCs/>
          <w:spacing w:val="-6"/>
          <w:sz w:val="32"/>
          <w:szCs w:val="32"/>
          <w:shd w:val="clear" w:color="auto" w:fill="auto"/>
        </w:rPr>
        <w:t>近4</w:t>
      </w:r>
      <w:r>
        <w:rPr>
          <w:rFonts w:ascii="方正楷体_GBK" w:eastAsia="方正楷体_GBK" w:hint="eastAsia"/>
          <w:b/>
          <w:bCs/>
          <w:spacing w:val="-6"/>
          <w:sz w:val="32"/>
          <w:szCs w:val="32"/>
          <w:shd w:val="clear" w:color="auto" w:fill="auto"/>
        </w:rPr>
        <w:t>成。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前5个月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，深圳市以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保税物流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方式出口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电脑173.4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增长21.7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%，占同期深圳市出口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电脑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总值的（下同）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39.3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%。以加工贸易方式出口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171.8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增长23.4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38.9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%；以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一般贸易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方式出口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96.2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亿元，增长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17.9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%。</w:t>
      </w:r>
    </w:p>
    <w:p>
      <w:pPr>
        <w:pStyle w:val="29"/>
        <w:spacing w:line="560" w:lineRule="exact"/>
        <w:ind w:firstLine="570"/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二</w:t>
      </w:r>
      <w:r>
        <w:rPr>
          <w:rFonts w:ascii="方正楷体_GBK" w:eastAsia="方正楷体_GBK"/>
          <w:b/>
          <w:bCs/>
          <w:color w:val="000000"/>
          <w:spacing w:val="-6"/>
          <w:sz w:val="32"/>
          <w:szCs w:val="32"/>
        </w:rPr>
        <w:t>是</w:t>
      </w: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民营企业</w:t>
      </w:r>
      <w:r>
        <w:rPr>
          <w:rFonts w:ascii="方正楷体_GBK" w:eastAsia="方正楷体_GBK"/>
          <w:b/>
          <w:bCs/>
          <w:color w:val="000000"/>
          <w:spacing w:val="-6"/>
          <w:sz w:val="32"/>
          <w:szCs w:val="32"/>
        </w:rPr>
        <w:t>出口占比超6成</w:t>
      </w: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。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前5个月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，深圳市民营企业出口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电脑280.5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增长23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63.5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%。同期，外商投资企业出口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146.2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增长18.6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33.1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%；国有企业出口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14.8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增长22.5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%。</w:t>
      </w:r>
    </w:p>
    <w:p>
      <w:pPr>
        <w:pStyle w:val="29"/>
        <w:spacing w:line="560" w:lineRule="exact"/>
        <w:ind w:firstLine="570"/>
        <w:rPr>
          <w:rFonts w:ascii="Times New Roman" w:eastAsia="方正仿宋_GBK" w:hAnsi="Times New Roman"/>
          <w:color w:val="000000"/>
          <w:spacing w:val="-6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三</w:t>
      </w:r>
      <w:r>
        <w:rPr>
          <w:rFonts w:ascii="方正楷体_GBK" w:eastAsia="方正楷体_GBK"/>
          <w:b/>
          <w:bCs/>
          <w:color w:val="000000"/>
          <w:spacing w:val="-6"/>
          <w:sz w:val="32"/>
          <w:szCs w:val="32"/>
        </w:rPr>
        <w:t>是香港地区为最大出口市场，对欧盟出口快速增长超5成。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前5个月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，深圳</w:t>
      </w:r>
      <w:r>
        <w:rPr>
          <w:rFonts w:ascii="Times New Roman" w:eastAsia="方正仿宋_GBK" w:hAnsi="Times New Roman"/>
          <w:spacing w:val="-6"/>
          <w:sz w:val="32"/>
          <w:szCs w:val="32"/>
        </w:rPr>
        <w:t>市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对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香港地区出口电脑147.5亿元，增长10.7%，占33.4%。同期，对欧盟、美国、东盟分别出口77.5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、44.6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、27.1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，增长50.3%、8.1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、18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17.6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、10.1%、6.1%。</w:t>
      </w:r>
      <w:bookmarkEnd w:id="1"/>
    </w:p>
    <w:p>
      <w:pPr>
        <w:pStyle w:val="24"/>
        <w:spacing w:beforeLines="50" w:before="120" w:afterLines="50" w:after="120" w:line="400" w:lineRule="exact"/>
        <w:jc w:val="center"/>
        <w:rPr>
          <w:rFonts w:ascii="Times New Roman" w:hAnsi="Times New Roman" w:hint="eastAsia"/>
          <w:b/>
          <w:sz w:val="28"/>
          <w:szCs w:val="28"/>
          <w:shd w:val="clear" w:color="auto" w:fill="auto"/>
        </w:rPr>
      </w:pPr>
      <w:r>
        <w:rPr>
          <w:rFonts w:ascii="Times New Roman" w:hAnsi="Times New Roman"/>
          <w:b/>
          <w:sz w:val="28"/>
          <w:szCs w:val="28"/>
          <w:shd w:val="clear" w:color="auto" w:fill="auto"/>
        </w:rPr>
        <w:t>2026年前5个月</w:t>
      </w:r>
      <w:r>
        <w:rPr>
          <w:rFonts w:ascii="Times New Roman" w:hAnsi="Times New Roman" w:hint="eastAsia"/>
          <w:b/>
          <w:sz w:val="28"/>
          <w:szCs w:val="28"/>
          <w:shd w:val="clear" w:color="auto" w:fill="auto"/>
        </w:rPr>
        <w:t>深圳市</w:t>
      </w:r>
      <w:r>
        <w:rPr>
          <w:rFonts w:ascii="Times New Roman" w:hAnsi="Times New Roman"/>
          <w:b/>
          <w:sz w:val="28"/>
          <w:szCs w:val="28"/>
          <w:shd w:val="clear" w:color="auto" w:fill="auto"/>
        </w:rPr>
        <w:t>电脑</w:t>
      </w:r>
      <w:r>
        <w:rPr>
          <w:rFonts w:ascii="Times New Roman" w:hAnsi="Times New Roman" w:hint="eastAsia"/>
          <w:b/>
          <w:sz w:val="28"/>
          <w:szCs w:val="28"/>
          <w:shd w:val="clear" w:color="auto" w:fill="auto"/>
        </w:rPr>
        <w:t>出口主要市场情况表</w:t>
      </w:r>
    </w:p>
    <w:p>
      <w:pPr>
        <w:pStyle w:val="68"/>
        <w:autoSpaceDN w:val="0"/>
        <w:spacing w:line="400" w:lineRule="exact"/>
        <w:jc w:val="right"/>
        <w:rPr>
          <w:rFonts w:ascii="Times New Roman" w:eastAsia="方正黑体_GBK" w:hAnsi="Times New Roman"/>
          <w:sz w:val="32"/>
          <w:szCs w:val="32"/>
        </w:rPr>
      </w:pPr>
      <w:r>
        <w:rPr>
          <w:rFonts w:eastAsia="方正仿宋_GBK" w:hint="eastAsia"/>
          <w:bCs/>
        </w:rPr>
        <w:t>单位：亿元人民币</w:t>
      </w:r>
      <w:r>
        <w:rPr>
          <w:rFonts w:ascii="Times New Roman" w:eastAsia="方正仿宋_GBK" w:hAnsi="Times New Roman" w:hint="eastAsia"/>
          <w:bCs/>
          <w:sz w:val="24"/>
          <w:szCs w:val="24"/>
        </w:rPr>
        <w:t>，</w:t>
      </w:r>
      <w:r>
        <w:rPr>
          <w:rFonts w:ascii="Times New Roman" w:eastAsia="方正仿宋_GBK" w:hAnsi="Times New Roman"/>
          <w:bCs/>
          <w:sz w:val="24"/>
          <w:szCs w:val="24"/>
        </w:rPr>
        <w:t>%</w:t>
      </w:r>
      <w:r>
        <w:rPr>
          <w:rFonts w:ascii="Times New Roman" w:eastAsia="方正仿宋_GBK" w:hAnsi="Times New Roman" w:hint="eastAsia"/>
          <w:bCs/>
          <w:sz w:val="24"/>
          <w:szCs w:val="24"/>
        </w:rPr>
        <w:t>，</w:t>
      </w:r>
      <w:r>
        <w:rPr>
          <w:rFonts w:ascii="Times New Roman" w:eastAsia="方正仿宋_GBK" w:hAnsi="Times New Roman"/>
          <w:bCs/>
          <w:sz w:val="24"/>
          <w:szCs w:val="24"/>
        </w:rPr>
        <w:t>%</w:t>
      </w:r>
    </w:p>
    <w:tbl>
      <w:tblPr>
        <w:jc w:val="center"/>
        <w:tblW w:w="3062" w:type="pct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6" w:space="0" w:color="CCE8CF"/>
          <w:insideV w:val="single" w:sz="6" w:space="0" w:color="CCE8C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664"/>
        <w:gridCol w:w="1030"/>
        <w:gridCol w:w="1008"/>
      </w:tblGrid>
      <w:tr>
        <w:trPr>
          <w:trHeight w:val="553"/>
        </w:trPr>
        <w:tc>
          <w:tcPr>
            <w:tcW w:w="1663" w:type="pct"/>
            <w:vMerge w:val="restart"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出口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市场</w:t>
            </w:r>
          </w:p>
        </w:tc>
        <w:tc>
          <w:tcPr>
            <w:tcW w:w="3336" w:type="pct"/>
            <w:gridSpan w:val="3"/>
            <w:tcBorders>
              <w:top w:val="single" w:sz="8" w:space="0" w:color="CCE8CF"/>
              <w:left w:val="single" w:sz="8" w:space="0" w:color="CCE8CF"/>
              <w:bottom w:val="single" w:sz="24" w:space="0" w:color="CCE8CF"/>
              <w:right w:val="single" w:sz="8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前5个月</w:t>
            </w:r>
          </w:p>
        </w:tc>
      </w:tr>
      <w:tr>
        <w:trPr>
          <w:trHeight w:val="408"/>
        </w:trPr>
        <w:tc>
          <w:tcPr>
            <w:tcW w:w="4340" w:type="pct"/>
            <w:vMerge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  <w:tl2br w:val="nil"/>
              <w:tr2bl w:val="nil"/>
            </w:tcBorders>
            <w:vAlign w:val="center"/>
          </w:tcPr>
          <w:p/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A5D5E2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出口值</w:t>
            </w:r>
          </w:p>
        </w:tc>
        <w:tc>
          <w:tcPr>
            <w:tcW w:w="92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A5D5E2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同比</w:t>
            </w:r>
          </w:p>
        </w:tc>
        <w:tc>
          <w:tcPr>
            <w:tcW w:w="907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A5D5E2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占比</w:t>
            </w:r>
          </w:p>
        </w:tc>
      </w:tr>
      <w:tr>
        <w:trPr>
          <w:trHeight w:hRule="exact" w:val="329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香港地区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147.5 </w:t>
            </w:r>
          </w:p>
        </w:tc>
        <w:tc>
          <w:tcPr>
            <w:tcW w:w="928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10.7 </w:t>
            </w:r>
          </w:p>
        </w:tc>
        <w:tc>
          <w:tcPr>
            <w:tcW w:w="907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33.4 </w:t>
            </w:r>
          </w:p>
        </w:tc>
      </w:tr>
      <w:tr>
        <w:trPr>
          <w:trHeight w:hRule="exact" w:val="329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欧盟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77.5 </w:t>
            </w:r>
          </w:p>
        </w:tc>
        <w:tc>
          <w:tcPr>
            <w:tcW w:w="928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50.3 </w:t>
            </w:r>
          </w:p>
        </w:tc>
        <w:tc>
          <w:tcPr>
            <w:tcW w:w="907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17.6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美国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44.6 </w:t>
            </w:r>
          </w:p>
        </w:tc>
        <w:tc>
          <w:tcPr>
            <w:tcW w:w="92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8.1 </w:t>
            </w:r>
          </w:p>
        </w:tc>
        <w:tc>
          <w:tcPr>
            <w:tcW w:w="907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10.1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i w:val="0"/>
                <w:sz w:val="24"/>
                <w:szCs w:val="24"/>
                <w:shd w:val="clear" w:color="auto" w:fill="auto"/>
              </w:rPr>
              <w:t>东盟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27.1 </w:t>
            </w:r>
          </w:p>
        </w:tc>
        <w:tc>
          <w:tcPr>
            <w:tcW w:w="92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18.0 </w:t>
            </w:r>
          </w:p>
        </w:tc>
        <w:tc>
          <w:tcPr>
            <w:tcW w:w="907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6.1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i w:val="0"/>
                <w:sz w:val="24"/>
                <w:szCs w:val="24"/>
                <w:shd w:val="clear" w:color="auto" w:fill="auto"/>
              </w:rPr>
              <w:t>日本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17.7 </w:t>
            </w:r>
          </w:p>
        </w:tc>
        <w:tc>
          <w:tcPr>
            <w:tcW w:w="92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-1.0 </w:t>
            </w:r>
          </w:p>
        </w:tc>
        <w:tc>
          <w:tcPr>
            <w:tcW w:w="907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4.0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俄罗斯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14.6 </w:t>
            </w:r>
          </w:p>
        </w:tc>
        <w:tc>
          <w:tcPr>
            <w:tcW w:w="92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39.0 </w:t>
            </w:r>
          </w:p>
        </w:tc>
        <w:tc>
          <w:tcPr>
            <w:tcW w:w="907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3.3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印度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11.1 </w:t>
            </w:r>
          </w:p>
        </w:tc>
        <w:tc>
          <w:tcPr>
            <w:tcW w:w="92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3.8 </w:t>
            </w:r>
          </w:p>
        </w:tc>
        <w:tc>
          <w:tcPr>
            <w:tcW w:w="907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2.5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阿联酋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10.8 </w:t>
            </w:r>
          </w:p>
        </w:tc>
        <w:tc>
          <w:tcPr>
            <w:tcW w:w="92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21.4 </w:t>
            </w:r>
          </w:p>
        </w:tc>
        <w:tc>
          <w:tcPr>
            <w:tcW w:w="907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2.5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pStyle w:val="104"/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英国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10.5 </w:t>
            </w:r>
          </w:p>
        </w:tc>
        <w:tc>
          <w:tcPr>
            <w:tcW w:w="92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17.1 </w:t>
            </w:r>
          </w:p>
        </w:tc>
        <w:tc>
          <w:tcPr>
            <w:tcW w:w="907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2.4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</w:tcPr>
          <w:p>
            <w:pPr>
              <w:pStyle w:val="105"/>
              <w:widowControl/>
              <w:adjustRightInd w:val="0"/>
              <w:snapToGrid w:val="0"/>
              <w:jc w:val="center"/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bCs/>
                <w:i w:val="0"/>
                <w:sz w:val="24"/>
                <w:szCs w:val="24"/>
                <w:shd w:val="clear" w:color="auto" w:fill="auto"/>
              </w:rPr>
              <w:t>澳大利亚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8.4 </w:t>
            </w:r>
          </w:p>
        </w:tc>
        <w:tc>
          <w:tcPr>
            <w:tcW w:w="92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44.3 </w:t>
            </w:r>
          </w:p>
        </w:tc>
        <w:tc>
          <w:tcPr>
            <w:tcW w:w="907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45"/>
              <w:jc w:val="right"/>
              <w:rPr>
                <w:rFonts w:eastAsia="Microsoft YaHei"/>
                <w:color w:val="000000"/>
                <w:sz w:val="22"/>
              </w:rPr>
            </w:pPr>
            <w:r>
              <w:rPr>
                <w:rFonts w:eastAsia="Microsoft YaHei"/>
                <w:color w:val="000000"/>
                <w:sz w:val="22"/>
              </w:rPr>
              <w:t xml:space="preserve">1.9 </w:t>
            </w:r>
          </w:p>
        </w:tc>
      </w:tr>
    </w:tbl>
    <w:p>
      <w:pPr>
        <w:pStyle w:val="29"/>
        <w:spacing w:line="560" w:lineRule="exact"/>
        <w:ind w:left="0"/>
        <w:rPr>
          <w:rFonts w:ascii="Times New Roman" w:eastAsia="方正仿宋_GBK" w:hAnsi="Times New Roman"/>
          <w:color w:val="000000"/>
          <w:spacing w:val="-6"/>
          <w:sz w:val="32"/>
          <w:szCs w:val="32"/>
        </w:rPr>
      </w:pPr>
    </w:p>
    <w:sectPr>
      <w:footerReference w:type="default" r:id="rId2"/>
      <w:pgSz w:w="11906" w:h="16838"/>
      <w:pgMar w:top="2098" w:right="1474" w:bottom="1985" w:left="1588" w:header="1814" w:footer="1474" w:gutter="0"/>
      <w:docGrid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方正仿宋_GBK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Verdana">
    <w:altName w:val="DejaVu Sans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</w:pPr>
    <w:r>
      <w:rPr>
        <w:rFonts w:hint="eastAsia"/>
      </w:rPr>
      <w:t>—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</w:t>
    </w:r>
    <w:r>
      <w:rPr>
        <w:rFonts w:hint="eastAsia"/>
      </w:rPr>
      <w:t>—</w: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snapToGrid w:val="0"/>
      <w:jc w:val="center"/>
    </w:pPr>
    <w:rPr>
      <w:rFonts w:eastAsia="方正仿宋_GBK"/>
      <w:spacing w:val="-4"/>
      <w:kern w:val="0"/>
      <w:sz w:val="28"/>
      <w:szCs w:val="20"/>
    </w:rPr>
  </w:style>
  <w:style w:type="paragraph" w:styleId="16">
    <w:name w:val="Plain Text"/>
    <w:basedOn w:val="0"/>
    <w:rPr>
      <w:rFonts w:ascii="宋体"/>
      <w:szCs w:val="20"/>
    </w:rPr>
  </w:style>
  <w:style w:type="paragraph" w:styleId="17">
    <w:name w:val="Document Map"/>
    <w:basedOn w:val="0"/>
    <w:pPr>
      <w:shd w:val="clear" w:color="auto" w:fill="000080"/>
    </w:pPr>
  </w:style>
  <w:style w:type="paragraph" w:styleId="18">
    <w:name w:val="endnote text"/>
    <w:basedOn w:val="0"/>
    <w:pPr>
      <w:snapToGrid w:val="0"/>
      <w:jc w:val="left"/>
    </w:pPr>
    <w:rPr>
      <w:rFonts w:eastAsia="仿宋_GB2312"/>
      <w:sz w:val="32"/>
      <w:szCs w:val="20"/>
    </w:rPr>
  </w:style>
  <w:style w:type="paragraph" w:styleId="19">
    <w:name w:val="Balloon Text"/>
    <w:basedOn w:val="0"/>
    <w:rPr>
      <w:sz w:val="18"/>
      <w:szCs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1">
    <w:name w:val="Char1"/>
    <w:basedOn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</w:rPr>
  </w:style>
  <w:style w:type="paragraph" w:customStyle="1" w:styleId="22">
    <w:name w:val="样式 10 磅"/>
    <w:next w:val="29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1 小四"/>
    <w:next w:val="45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31">
    <w:name w:val="footnote text"/>
    <w:basedOn w:val="0"/>
    <w:pPr>
      <w:snapToGrid w:val="0"/>
      <w:jc w:val="left"/>
    </w:pPr>
    <w:rPr>
      <w:sz w:val="18"/>
      <w:szCs w:val="18"/>
    </w:rPr>
  </w:style>
  <w:style w:type="character" w:styleId="32">
    <w:name w:val="footnote reference"/>
    <w:basedOn w:val="10"/>
    <w:rPr>
      <w:vertAlign w:val="superscript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next w:val="4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next w:val="4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4 10 磅"/>
    <w:next w:val="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5 10 磅"/>
    <w:next w:val="4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6 10 磅"/>
    <w:next w:val="5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customStyle="1" w:styleId="40">
    <w:name w:val="im-content1"/>
    <w:basedOn w:val="10"/>
    <w:rPr>
      <w:color w:val="000000"/>
    </w:rPr>
  </w:style>
  <w:style w:type="character" w:styleId="41">
    <w:name w:val="endnote reference"/>
    <w:basedOn w:val="10"/>
    <w:rPr>
      <w:vertAlign w:val="superscript"/>
    </w:rPr>
  </w:style>
  <w:style w:type="paragraph" w:customStyle="1" w:styleId="42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48">
    <w:name w:val="样式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9">
    <w:name w:val="样式 1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50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14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2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53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1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55">
    <w:name w:val="样式 3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56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2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58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1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"/>
    <w:rPr>
      <w:rFonts w:ascii="Times New Roman" w:eastAsia="宋体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61">
    <w:name w:val="样式 1"/>
    <w:rPr>
      <w:rFonts w:ascii="Times New Roman" w:eastAsia="宋体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62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2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2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2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2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2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1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1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">
    <w:name w:val="样式 2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2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2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2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3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3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styleId="83">
    <w:name w:val="HTML Variable"/>
    <w:basedOn w:val="10"/>
    <w:rPr>
      <w:i/>
    </w:rPr>
  </w:style>
  <w:style w:type="paragraph" w:customStyle="1" w:styleId="84">
    <w:name w:val="样式 3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3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3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3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1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1">
    <w:name w:val="样式 13 三号"/>
    <w:next w:val="4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2">
    <w:name w:val="样式 12 三号"/>
    <w:next w:val="4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3">
    <w:name w:val="样式 11 三号"/>
    <w:next w:val="4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4">
    <w:name w:val="样式 9 三号"/>
    <w:next w:val="4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5">
    <w:name w:val="样式 8 三号"/>
    <w:next w:val="3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6">
    <w:name w:val="样式 7 三号"/>
    <w:next w:val="3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7">
    <w:name w:val="样式 5 三号"/>
    <w:next w:val="3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8">
    <w:name w:val="样式 4 三号"/>
    <w:next w:val="3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9">
    <w:name w:val="样式 3 三号"/>
    <w:next w:val="3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00">
    <w:name w:val="样式 3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01">
    <w:name w:val="样式 3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styleId="102">
    <w:name w:val="HTML Sample"/>
    <w:basedOn w:val="10"/>
    <w:rPr>
      <w:rFonts w:ascii="Courier New" w:hAnsi="Courier New"/>
    </w:rPr>
  </w:style>
  <w:style w:type="paragraph" w:customStyle="1" w:styleId="103">
    <w:name w:val="样式 3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5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4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4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4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4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4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4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563</TotalTime>
  <Application>Yozo_Office</Application>
  <Pages>2</Pages>
  <Words>488</Words>
  <Characters>707</Characters>
  <Lines>66</Lines>
  <Paragraphs>53</Paragraphs>
  <CharactersWithSpaces>737</CharactersWithSpaces>
  <Company>信息中心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林静怡</cp:lastModifiedBy>
  <cp:revision>17</cp:revision>
  <dcterms:created xsi:type="dcterms:W3CDTF">2025-05-22T02:37:00Z</dcterms:created>
  <dcterms:modified xsi:type="dcterms:W3CDTF">2026-06-25T02:07:55Z</dcterms:modified>
</cp:coreProperties>
</file>