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overflowPunct/>
        <w:spacing w:line="240" w:lineRule="auto"/>
        <w:ind w:firstLineChars="0" w:firstLine="0"/>
        <w:jc w:val="center"/>
        <w:rPr>
          <w:rFonts w:ascii="黑体" w:eastAsia="黑体" w:cs="Times New Roman"/>
          <w:sz w:val="48"/>
          <w:szCs w:val="48"/>
        </w:rPr>
      </w:pPr>
    </w:p>
    <w:p>
      <w:pPr>
        <w:overflowPunct/>
        <w:spacing w:line="240" w:lineRule="auto"/>
        <w:ind w:firstLineChars="0" w:firstLine="0"/>
        <w:jc w:val="center"/>
        <w:rPr>
          <w:rFonts w:ascii="黑体" w:eastAsia="黑体" w:cs="Times New Roman"/>
          <w:sz w:val="48"/>
          <w:szCs w:val="48"/>
        </w:rPr>
      </w:pPr>
    </w:p>
    <w:p>
      <w:pPr>
        <w:overflowPunct/>
        <w:spacing w:line="240" w:lineRule="auto"/>
        <w:ind w:firstLineChars="0" w:firstLine="0"/>
        <w:jc w:val="center"/>
        <w:rPr>
          <w:rFonts w:ascii="黑体" w:eastAsia="黑体" w:cs="Times New Roman"/>
          <w:sz w:val="48"/>
          <w:szCs w:val="48"/>
        </w:rPr>
      </w:pPr>
    </w:p>
    <w:p>
      <w:pPr>
        <w:overflowPunct/>
        <w:spacing w:line="240" w:lineRule="auto"/>
        <w:ind w:firstLineChars="0" w:firstLine="0"/>
        <w:jc w:val="center"/>
        <w:rPr>
          <w:rFonts w:ascii="黑体" w:eastAsia="黑体" w:cs="Times New Roman"/>
          <w:sz w:val="48"/>
          <w:szCs w:val="48"/>
        </w:rPr>
      </w:pPr>
    </w:p>
    <w:p>
      <w:pPr>
        <w:overflowPunct/>
        <w:spacing w:line="240" w:lineRule="auto"/>
        <w:ind w:firstLineChars="0" w:firstLine="0"/>
        <w:jc w:val="center"/>
        <w:rPr>
          <w:rFonts w:ascii="黑体" w:eastAsia="黑体" w:cs="Times New Roman"/>
          <w:sz w:val="48"/>
          <w:szCs w:val="48"/>
        </w:rPr>
      </w:pPr>
      <w:r>
        <w:rPr>
          <w:rFonts w:ascii="黑体" w:eastAsia="黑体" w:cs="Times New Roman"/>
          <w:color w:val="000000"/>
          <w:sz w:val="48"/>
          <w:szCs w:val="48"/>
        </w:rPr>
        <w:drawing>
          <wp:inline distT="0" distB="0" distL="0" distR="0">
            <wp:extent cx="3063875" cy="3063875"/>
            <wp:effectExtent l="0" t="0" r="0" b="0"/>
            <wp:docPr id="1" name="图片 1"/>
            <wp:cNvGraphicFramePr>
              <a:graphicFrameLocks noChangeAspect="1"/>
            </wp:cNvGraphicFramePr>
            <a:graphic>
              <a:graphicData uri="http://schemas.openxmlformats.org/drawingml/2006/picture">
                <pic:pic>
                  <pic:nvPicPr>
                    <pic:cNvPr id="3" name="图片 3"/>
                    <pic:cNvPicPr/>
                  </pic:nvPicPr>
                  <pic:blipFill>
                    <a:blip r:embed="rId5"/>
                    <a:stretch>
                      <a:fillRect/>
                    </a:stretch>
                  </pic:blipFill>
                  <pic:spPr>
                    <a:xfrm rot="0">
                      <a:off x="0" y="0"/>
                      <a:ext cx="3063875" cy="3063875"/>
                    </a:xfrm>
                    <a:prstGeom prst="rect"/>
                    <a:solidFill>
                      <a:srgbClr val="FFFFFF"/>
                    </a:solidFill>
                    <a:ln w="9525" cmpd="sng" cap="flat">
                      <a:noFill/>
                      <a:prstDash val="solid"/>
                      <a:round/>
                    </a:ln>
                  </pic:spPr>
                </pic:pic>
              </a:graphicData>
            </a:graphic>
          </wp:inline>
        </w:drawing>
      </w:r>
    </w:p>
    <w:p>
      <w:pPr>
        <w:overflowPunct/>
        <w:spacing w:line="240" w:lineRule="auto"/>
        <w:ind w:firstLineChars="0" w:firstLine="0"/>
        <w:jc w:val="center"/>
        <w:rPr>
          <w:rFonts w:ascii="黑体" w:eastAsia="黑体" w:cs="Times New Roman"/>
          <w:sz w:val="48"/>
          <w:szCs w:val="48"/>
        </w:rPr>
      </w:pPr>
    </w:p>
    <w:p>
      <w:pPr>
        <w:overflowPunct/>
        <w:spacing w:line="240" w:lineRule="auto"/>
        <w:ind w:firstLineChars="0" w:firstLine="0"/>
        <w:jc w:val="center"/>
        <w:rPr>
          <w:rFonts w:ascii="方正小标宋_GBK" w:eastAsia="方正小标宋_GBK" w:cs="Times New Roman"/>
          <w:sz w:val="84"/>
          <w:szCs w:val="84"/>
        </w:rPr>
      </w:pPr>
      <w:r>
        <w:rPr>
          <w:rFonts w:ascii="方正小标宋_GBK" w:eastAsia="方正小标宋_GBK" w:cs="Times New Roman" w:hint="eastAsia"/>
          <w:sz w:val="84"/>
          <w:szCs w:val="84"/>
        </w:rPr>
        <w:t>大连海关本级</w:t>
      </w:r>
    </w:p>
    <w:p>
      <w:pPr>
        <w:overflowPunct/>
        <w:spacing w:line="240" w:lineRule="auto"/>
        <w:ind w:firstLineChars="0" w:firstLine="0"/>
        <w:jc w:val="center"/>
        <w:rPr>
          <w:rFonts w:ascii="方正小标宋_GBK" w:eastAsia="方正小标宋_GBK" w:cs="Times New Roman"/>
          <w:sz w:val="84"/>
          <w:szCs w:val="84"/>
        </w:rPr>
      </w:pPr>
      <w:r>
        <w:rPr>
          <w:rFonts w:ascii="方正小标宋_GBK" w:eastAsia="方正小标宋_GBK" w:cs="Times New Roman" w:hint="eastAsia"/>
          <w:sz w:val="84"/>
          <w:szCs w:val="84"/>
        </w:rPr>
        <w:t>部门预算</w:t>
      </w:r>
    </w:p>
    <w:p/>
    <w:p>
      <w:pPr>
        <w:overflowPunct/>
        <w:spacing w:line="240" w:lineRule="auto"/>
        <w:ind w:firstLineChars="0" w:firstLine="0"/>
        <w:jc w:val="center"/>
        <w:rPr>
          <w:rFonts w:ascii="方正小标宋_GBK" w:eastAsia="方正小标宋_GBK" w:cs="Times New Roman"/>
          <w:sz w:val="44"/>
          <w:szCs w:val="44"/>
        </w:rPr>
      </w:pPr>
      <w:r>
        <w:rPr>
          <w:rFonts w:ascii="方正小标宋_GBK" w:eastAsia="方正小标宋_GBK" w:cs="Times New Roman" w:hint="eastAsia"/>
          <w:sz w:val="44"/>
          <w:szCs w:val="44"/>
        </w:rPr>
        <w:t>2</w:t>
      </w:r>
      <w:r>
        <w:rPr>
          <w:rFonts w:ascii="方正小标宋_GBK" w:eastAsia="方正小标宋_GBK" w:cs="Times New Roman"/>
          <w:sz w:val="44"/>
          <w:szCs w:val="44"/>
        </w:rPr>
        <w:t>023</w:t>
      </w:r>
      <w:r>
        <w:rPr>
          <w:rFonts w:ascii="方正小标宋_GBK" w:eastAsia="方正小标宋_GBK" w:cs="Times New Roman" w:hint="eastAsia"/>
          <w:sz w:val="44"/>
          <w:szCs w:val="44"/>
        </w:rPr>
        <w:t>年度</w:t>
      </w:r>
    </w:p>
    <w:p>
      <w:pPr>
        <w:widowControl/>
        <w:overflowPunct/>
        <w:spacing w:line="240" w:lineRule="auto"/>
        <w:ind w:firstLineChars="0" w:firstLine="0"/>
        <w:jc w:val="center"/>
        <w:rPr>
          <w:rFonts w:ascii="方正小标宋_GBK" w:eastAsia="方正小标宋_GBK"/>
          <w:sz w:val="72"/>
          <w:szCs w:val="72"/>
        </w:rPr>
      </w:pPr>
      <w:r>
        <w:br w:type="page"/>
      </w:r>
      <w:r>
        <w:rPr>
          <w:rFonts w:ascii="方正小标宋_GBK" w:eastAsia="方正小标宋_GBK" w:hint="eastAsia"/>
          <w:sz w:val="72"/>
          <w:szCs w:val="72"/>
        </w:rPr>
        <w:t>目  录</w:t>
      </w:r>
    </w:p>
    <w:p/>
    <w:p>
      <w:pPr>
        <w:ind w:firstLineChars="0" w:firstLine="0"/>
        <w:rPr>
          <w:rFonts w:ascii="方正小标宋_GBK" w:eastAsia="方正小标宋_GBK"/>
          <w:sz w:val="36"/>
          <w:szCs w:val="36"/>
        </w:rPr>
      </w:pPr>
      <w:r>
        <w:rPr>
          <w:rFonts w:ascii="方正小标宋_GBK" w:eastAsia="方正小标宋_GBK" w:hint="eastAsia"/>
          <w:sz w:val="36"/>
          <w:szCs w:val="36"/>
        </w:rPr>
        <w:t xml:space="preserve">第一部分  </w:t>
      </w:r>
      <w:r>
        <w:rPr>
          <w:rFonts w:ascii="方正小标宋_GBK" w:eastAsia="方正小标宋_GBK"/>
          <w:sz w:val="36"/>
          <w:szCs w:val="36"/>
        </w:rPr>
        <w:t>大连海关本级</w:t>
      </w:r>
      <w:r>
        <w:rPr>
          <w:rFonts w:ascii="方正小标宋_GBK" w:eastAsia="方正小标宋_GBK" w:hint="eastAsia"/>
          <w:sz w:val="36"/>
          <w:szCs w:val="36"/>
        </w:rPr>
        <w:t>部门概况</w:t>
      </w:r>
    </w:p>
    <w:p>
      <w:r>
        <w:rPr>
          <w:rFonts w:hint="eastAsia"/>
        </w:rPr>
        <w:t>一、主要职能</w:t>
      </w:r>
    </w:p>
    <w:p>
      <w:r>
        <w:rPr>
          <w:rFonts w:hint="eastAsia"/>
        </w:rPr>
        <w:t>二、</w:t>
      </w:r>
      <w:r>
        <w:t>大连海关本级</w:t>
      </w:r>
      <w:r>
        <w:rPr>
          <w:rFonts w:hint="eastAsia"/>
        </w:rPr>
        <w:t>预算单位构成</w:t>
      </w:r>
    </w:p>
    <w:p>
      <w:pPr>
        <w:ind w:firstLineChars="0" w:firstLine="0"/>
        <w:rPr>
          <w:rFonts w:ascii="方正小标宋_GBK" w:eastAsia="方正小标宋_GBK"/>
          <w:sz w:val="36"/>
          <w:szCs w:val="36"/>
        </w:rPr>
      </w:pPr>
      <w:r>
        <w:rPr>
          <w:rFonts w:ascii="方正小标宋_GBK" w:eastAsia="方正小标宋_GBK" w:hint="eastAsia"/>
          <w:sz w:val="36"/>
          <w:szCs w:val="36"/>
        </w:rPr>
        <w:t xml:space="preserve">第二部分  </w:t>
      </w:r>
      <w:r>
        <w:rPr>
          <w:rFonts w:ascii="方正小标宋_GBK" w:eastAsia="方正小标宋_GBK"/>
          <w:sz w:val="36"/>
          <w:szCs w:val="36"/>
        </w:rPr>
        <w:t>大连海关本级</w:t>
      </w:r>
      <w:r>
        <w:rPr>
          <w:rFonts w:ascii="方正小标宋_GBK" w:eastAsia="方正小标宋_GBK" w:hint="eastAsia"/>
          <w:sz w:val="36"/>
          <w:szCs w:val="36"/>
        </w:rPr>
        <w:t>2023年部门预算表</w:t>
      </w:r>
    </w:p>
    <w:p>
      <w:r>
        <w:rPr>
          <w:rFonts w:hint="eastAsia"/>
        </w:rPr>
        <w:t>一、部门收支总表</w:t>
      </w:r>
    </w:p>
    <w:p>
      <w:r>
        <w:rPr>
          <w:rFonts w:hint="eastAsia"/>
        </w:rPr>
        <w:t>二、部门收入总表</w:t>
      </w:r>
    </w:p>
    <w:p>
      <w:r>
        <w:rPr>
          <w:rFonts w:hint="eastAsia"/>
        </w:rPr>
        <w:t>三、部门支出总表</w:t>
      </w:r>
    </w:p>
    <w:p>
      <w:r>
        <w:rPr>
          <w:rFonts w:hint="eastAsia"/>
        </w:rPr>
        <w:t>四、财政拨款收支总表</w:t>
      </w:r>
    </w:p>
    <w:p>
      <w:r>
        <w:rPr>
          <w:rFonts w:hint="eastAsia"/>
        </w:rPr>
        <w:t>五、一般公共预算支出表</w:t>
      </w:r>
    </w:p>
    <w:p>
      <w:r>
        <w:rPr>
          <w:rFonts w:hint="eastAsia"/>
        </w:rPr>
        <w:t>六、一般公共预算基本支出表</w:t>
      </w:r>
    </w:p>
    <w:p>
      <w:r>
        <w:rPr>
          <w:rFonts w:hint="eastAsia"/>
        </w:rPr>
        <w:t>七、政府性基金预算支出表</w:t>
      </w:r>
    </w:p>
    <w:p>
      <w:r>
        <w:rPr>
          <w:rFonts w:hint="eastAsia"/>
        </w:rPr>
        <w:t>八、国有资本经营预算支出表</w:t>
      </w:r>
    </w:p>
    <w:p>
      <w:r>
        <w:rPr>
          <w:rFonts w:hint="eastAsia"/>
        </w:rPr>
        <w:t>九、财政拨款预算“三公”经费支出表</w:t>
      </w:r>
    </w:p>
    <w:p>
      <w:pPr>
        <w:ind w:firstLineChars="0" w:firstLine="0"/>
        <w:rPr>
          <w:rFonts w:ascii="方正小标宋_GBK" w:eastAsia="方正小标宋_GBK"/>
          <w:sz w:val="36"/>
          <w:szCs w:val="36"/>
        </w:rPr>
      </w:pPr>
      <w:r>
        <w:rPr>
          <w:rFonts w:ascii="方正小标宋_GBK" w:eastAsia="方正小标宋_GBK" w:hint="eastAsia"/>
          <w:sz w:val="36"/>
          <w:szCs w:val="36"/>
        </w:rPr>
        <w:t xml:space="preserve">第三部分  </w:t>
      </w:r>
      <w:r>
        <w:rPr>
          <w:rFonts w:ascii="方正小标宋_GBK" w:eastAsia="方正小标宋_GBK"/>
          <w:sz w:val="36"/>
          <w:szCs w:val="36"/>
        </w:rPr>
        <w:t>大连海关本级</w:t>
      </w:r>
      <w:r>
        <w:rPr>
          <w:rFonts w:ascii="方正小标宋_GBK" w:eastAsia="方正小标宋_GBK" w:hint="eastAsia"/>
          <w:sz w:val="36"/>
          <w:szCs w:val="36"/>
        </w:rPr>
        <w:t>2023年部门预算情况说明</w:t>
      </w:r>
    </w:p>
    <w:p>
      <w:pPr>
        <w:ind w:firstLineChars="0" w:firstLine="0"/>
        <w:rPr>
          <w:rFonts w:ascii="方正小标宋_GBK" w:eastAsia="方正小标宋_GBK"/>
          <w:sz w:val="36"/>
          <w:szCs w:val="36"/>
        </w:rPr>
      </w:pPr>
      <w:r>
        <w:rPr>
          <w:rFonts w:ascii="方正小标宋_GBK" w:eastAsia="方正小标宋_GBK" w:hint="eastAsia"/>
          <w:sz w:val="36"/>
          <w:szCs w:val="36"/>
        </w:rPr>
        <w:t>第四部分 名词解释</w:t>
      </w:r>
    </w:p>
    <w:p>
      <w:pPr>
        <w:ind w:firstLineChars="0" w:firstLine="0"/>
        <w:rPr>
          <w:rFonts w:ascii="方正小标宋_GBK" w:eastAsia="方正小标宋_GBK"/>
          <w:sz w:val="36"/>
          <w:szCs w:val="36"/>
        </w:rPr>
      </w:pPr>
      <w:r>
        <w:rPr>
          <w:rFonts w:ascii="方正小标宋_GBK" w:eastAsia="方正小标宋_GBK" w:hint="eastAsia"/>
          <w:sz w:val="36"/>
          <w:szCs w:val="36"/>
        </w:rPr>
        <w:t>第五部分 附件</w:t>
      </w:r>
    </w:p>
    <w:p>
      <w:pPr>
        <w:widowControl/>
        <w:overflowPunct/>
        <w:spacing w:line="240" w:lineRule="auto"/>
        <w:ind w:firstLineChars="0" w:firstLine="0"/>
        <w:jc w:val="left"/>
        <w:rPr>
          <w:rFonts w:ascii="方正小标宋_GBK" w:eastAsia="方正小标宋_GBK"/>
          <w:sz w:val="36"/>
          <w:szCs w:val="36"/>
        </w:rPr>
      </w:pPr>
      <w:r>
        <w:rPr>
          <w:rFonts w:ascii="方正小标宋_GBK" w:eastAsia="方正小标宋_GBK"/>
          <w:sz w:val="36"/>
          <w:szCs w:val="36"/>
        </w:rPr>
        <w:br w:type="page"/>
      </w:r>
    </w:p>
    <w:p>
      <w:pPr>
        <w:spacing w:line="240" w:lineRule="auto"/>
        <w:ind w:firstLineChars="0" w:firstLine="0"/>
        <w:jc w:val="center"/>
        <w:rPr>
          <w:rFonts w:ascii="方正小标宋_GBK" w:eastAsia="方正小标宋_GBK"/>
          <w:sz w:val="72"/>
          <w:szCs w:val="72"/>
        </w:rPr>
      </w:pPr>
      <w:bookmarkStart w:id="0" w:name="_Hlk133949044"/>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outlineLvl w:val="0"/>
        <w:rPr>
          <w:rFonts w:ascii="方正小标宋_GBK" w:eastAsia="方正小标宋_GBK"/>
          <w:sz w:val="84"/>
          <w:szCs w:val="84"/>
        </w:rPr>
      </w:pPr>
      <w:bookmarkEnd w:id="0"/>
      <w:r>
        <w:rPr>
          <w:rFonts w:ascii="方正小标宋_GBK" w:eastAsia="方正小标宋_GBK" w:hint="eastAsia"/>
          <w:sz w:val="84"/>
          <w:szCs w:val="84"/>
        </w:rPr>
        <w:t>第一部分</w:t>
      </w:r>
      <w:r>
        <w:rPr>
          <w:rFonts w:ascii="方正小标宋_GBK" w:eastAsia="方正小标宋_GBK"/>
          <w:sz w:val="84"/>
          <w:szCs w:val="84"/>
        </w:rPr>
        <w:br/>
        <w:t>大连海关本级</w:t>
      </w:r>
    </w:p>
    <w:p>
      <w:pPr>
        <w:spacing w:line="240" w:lineRule="auto"/>
        <w:ind w:firstLineChars="0" w:firstLine="0"/>
        <w:jc w:val="center"/>
        <w:outlineLvl w:val="0"/>
        <w:rPr>
          <w:rFonts w:ascii="方正小标宋_GBK" w:eastAsia="方正小标宋_GBK"/>
          <w:sz w:val="72"/>
          <w:szCs w:val="72"/>
        </w:rPr>
      </w:pPr>
      <w:r>
        <w:rPr>
          <w:rFonts w:ascii="方正小标宋_GBK" w:eastAsia="方正小标宋_GBK" w:hint="eastAsia"/>
          <w:sz w:val="84"/>
          <w:szCs w:val="84"/>
        </w:rPr>
        <w:t>部门概况</w:t>
      </w:r>
      <w:r>
        <w:rPr>
          <w:rFonts w:ascii="方正小标宋_GBK" w:eastAsia="方正小标宋_GBK"/>
          <w:sz w:val="72"/>
          <w:szCs w:val="72"/>
        </w:rPr>
        <w:br w:type="page"/>
      </w:r>
    </w:p>
    <w:p>
      <w:pPr>
        <w:pStyle w:val="22"/>
        <w:outlineLvl w:val="1"/>
      </w:pPr>
      <w:r>
        <w:rPr>
          <w:rFonts w:hint="eastAsia"/>
        </w:rPr>
        <w:t>一、主要职能</w:t>
      </w:r>
    </w:p>
    <w:p>
      <w:pPr>
        <w:overflowPunct w:val="0"/>
        <w:autoSpaceDN w:val="0"/>
        <w:rPr>
          <w:szCs w:val="32"/>
        </w:rPr>
      </w:pPr>
      <w:r>
        <w:rPr>
          <w:rFonts w:hint="eastAsia"/>
          <w:szCs w:val="32"/>
        </w:rPr>
        <w:t>大连海关是受海关总署直接领导，负责指定口岸及相关区域范围内海关工作运行管理、监督监控的正厅级直属海关，领导隶属海关。大连海关管辖范围为辽宁省大连市、鞍山市、本溪市</w:t>
      </w:r>
      <w:r>
        <w:rPr>
          <w:szCs w:val="32"/>
        </w:rPr>
        <w:t>、</w:t>
      </w:r>
      <w:r>
        <w:rPr>
          <w:rFonts w:hint="eastAsia"/>
          <w:szCs w:val="32"/>
        </w:rPr>
        <w:t>营口市、丹东市、盘锦市的各项海关管理工作。主要职责是：</w:t>
      </w:r>
    </w:p>
    <w:p>
      <w:pPr>
        <w:overflowPunct w:val="0"/>
        <w:autoSpaceDN w:val="0"/>
        <w:rPr>
          <w:szCs w:val="32"/>
        </w:rPr>
      </w:pPr>
      <w:r>
        <w:rPr>
          <w:rFonts w:hint="eastAsia"/>
          <w:szCs w:val="32"/>
        </w:rPr>
        <w:t>（一）负责本关区贯彻落实党中央、国务院关于海关工作的方针政策和决策部署，在履行职责过程中坚持和加强党对海关工作的集中统一领导，履行全面从严治党</w:t>
      </w:r>
      <w:r>
        <w:rPr>
          <w:szCs w:val="32"/>
        </w:rPr>
        <w:t>主体</w:t>
      </w:r>
      <w:bookmarkStart w:id="1" w:name="_GoBack"/>
      <w:bookmarkEnd w:id="1"/>
      <w:r>
        <w:rPr>
          <w:rFonts w:hint="eastAsia"/>
          <w:szCs w:val="32"/>
        </w:rPr>
        <w:t>责任。</w:t>
      </w:r>
    </w:p>
    <w:p>
      <w:pPr>
        <w:overflowPunct w:val="0"/>
        <w:autoSpaceDN w:val="0"/>
        <w:rPr>
          <w:szCs w:val="32"/>
        </w:rPr>
      </w:pPr>
      <w:r>
        <w:rPr>
          <w:rFonts w:hint="eastAsia"/>
          <w:szCs w:val="32"/>
        </w:rPr>
        <w:t>（二）负责贯彻执行与海关管理相关的法律、法规、规章、规范性文件和相关技术规范，负责本关区征税、监管、缉私、出入境检验检疫、统计等工作。</w:t>
      </w:r>
    </w:p>
    <w:p>
      <w:pPr>
        <w:overflowPunct w:val="0"/>
        <w:autoSpaceDN w:val="0"/>
        <w:rPr>
          <w:szCs w:val="32"/>
        </w:rPr>
      </w:pPr>
      <w:r>
        <w:rPr>
          <w:rFonts w:hint="eastAsia"/>
          <w:szCs w:val="32"/>
        </w:rPr>
        <w:t>（三）监控研判本关区各类执法风险、管理风险和廉政风险并组织防范和化解，负责本关区基层党组织建设、队伍建设和日常管理工作。</w:t>
      </w:r>
    </w:p>
    <w:p>
      <w:pPr>
        <w:overflowPunct w:val="0"/>
        <w:autoSpaceDN w:val="0"/>
        <w:rPr>
          <w:szCs w:val="32"/>
        </w:rPr>
      </w:pPr>
      <w:r>
        <w:rPr>
          <w:rFonts w:hint="eastAsia"/>
          <w:szCs w:val="32"/>
        </w:rPr>
        <w:t>（四）完成海关总署交办的其他工作。</w:t>
      </w:r>
    </w:p>
    <w:p>
      <w:pPr>
        <w:pStyle w:val="22"/>
        <w:outlineLvl w:val="1"/>
      </w:pPr>
      <w:r>
        <w:rPr>
          <w:rFonts w:hint="eastAsia"/>
        </w:rPr>
        <w:t>二、</w:t>
      </w:r>
      <w:r>
        <w:t>大连海关本级</w:t>
      </w:r>
      <w:r>
        <w:rPr>
          <w:rFonts w:hint="eastAsia"/>
        </w:rPr>
        <w:t>预算单位构成</w:t>
      </w:r>
    </w:p>
    <w:p>
      <w:pPr>
        <w:overflowPunct w:val="0"/>
        <w:autoSpaceDN w:val="0"/>
        <w:rPr>
          <w:szCs w:val="32"/>
        </w:rPr>
      </w:pPr>
      <w:r>
        <w:rPr>
          <w:rFonts w:hint="eastAsia"/>
          <w:szCs w:val="32"/>
        </w:rPr>
        <w:t>大连海关内设机构：</w:t>
      </w:r>
      <w:r>
        <w:rPr>
          <w:szCs w:val="32"/>
        </w:rPr>
        <w:t>办公室</w:t>
      </w:r>
      <w:r>
        <w:rPr>
          <w:rFonts w:hint="eastAsia"/>
          <w:szCs w:val="32"/>
        </w:rPr>
        <w:t>（党委办公室）</w:t>
      </w:r>
      <w:r>
        <w:rPr>
          <w:szCs w:val="32"/>
        </w:rPr>
        <w:t>、</w:t>
      </w:r>
      <w:r>
        <w:rPr>
          <w:rFonts w:hint="eastAsia"/>
          <w:szCs w:val="32"/>
        </w:rPr>
        <w:t>法规处</w:t>
      </w:r>
      <w:r>
        <w:rPr>
          <w:szCs w:val="32"/>
        </w:rPr>
        <w:t>、</w:t>
      </w:r>
      <w:r>
        <w:rPr>
          <w:rFonts w:hint="eastAsia"/>
          <w:szCs w:val="32"/>
        </w:rPr>
        <w:t>综合业务处、自贸区和特殊区域发展处、关税处、卫生检疫处、动植物检疫处、进出口食品安全处、商品检验处、口岸监管处、统计分析处、企业管理和稽查处、财务处、科技处、督察内审处、人事处（党委组织部）、教育处、机关党委（思想政治工作办公室、党委宣传部、党委巡察工作办公室）、监察室（党委纪检组）、离退休干部办公室。</w:t>
      </w:r>
      <w:r>
        <w:rPr>
          <w:rFonts w:hint="eastAsia"/>
          <w:kern w:val="0"/>
          <w:szCs w:val="32"/>
        </w:rPr>
        <w:t>独立编制机构：</w:t>
      </w:r>
      <w:r>
        <w:rPr>
          <w:rFonts w:hint="eastAsia"/>
          <w:szCs w:val="32"/>
        </w:rPr>
        <w:t>大连海关风险防控分局、缉私局</w:t>
      </w:r>
    </w:p>
    <w:p>
      <w:pPr>
        <w:spacing w:afterLines="100" w:after="435"/>
        <w:rPr>
          <w:szCs w:val="32"/>
        </w:rPr>
      </w:pPr>
      <w:r>
        <w:rPr>
          <w:rFonts w:hint="eastAsia"/>
          <w:szCs w:val="32"/>
        </w:rPr>
        <w:t>纳入大连海关本级</w:t>
      </w:r>
      <w:r>
        <w:rPr>
          <w:szCs w:val="32"/>
        </w:rPr>
        <w:t>202</w:t>
      </w:r>
      <w:r>
        <w:rPr>
          <w:rFonts w:hint="eastAsia"/>
          <w:szCs w:val="32"/>
        </w:rPr>
        <w:t>3</w:t>
      </w:r>
      <w:r>
        <w:rPr>
          <w:szCs w:val="32"/>
        </w:rPr>
        <w:t>年</w:t>
      </w:r>
      <w:r>
        <w:rPr>
          <w:rFonts w:hint="eastAsia"/>
          <w:szCs w:val="32"/>
        </w:rPr>
        <w:t>预算编制范围的单位如下：</w:t>
      </w:r>
    </w:p>
    <w:tbl>
      <w:tblPr>
        <w:jc w:val="left"/>
        <w:tblInd w:w="108" w:type="dxa"/>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9"/>
        <w:gridCol w:w="3402"/>
        <w:gridCol w:w="709"/>
        <w:gridCol w:w="3544"/>
      </w:tblGrid>
      <w:tr>
        <w:trPr>
          <w:trHeight w:val="391"/>
        </w:trPr>
        <w:tc>
          <w:tcPr>
            <w:tcW w:w="709" w:type="dxa"/>
            <w:noWrap/>
            <w:vAlign w:val="center"/>
          </w:tcPr>
          <w:p>
            <w:pPr>
              <w:overflowPunct/>
              <w:spacing w:line="240" w:lineRule="auto"/>
              <w:ind w:firstLineChars="0" w:firstLine="0"/>
              <w:jc w:val="center"/>
              <w:rPr>
                <w:rFonts w:ascii="方正小标宋_GBK" w:eastAsia="方正小标宋_GBK" w:cs="Times New Roman"/>
                <w:color w:val="000000"/>
                <w:sz w:val="24"/>
                <w:szCs w:val="24"/>
              </w:rPr>
            </w:pPr>
            <w:r>
              <w:rPr>
                <w:rFonts w:ascii="方正小标宋_GBK" w:eastAsia="方正小标宋_GBK" w:cs="Times New Roman" w:hint="eastAsia"/>
                <w:color w:val="000000"/>
                <w:sz w:val="24"/>
                <w:szCs w:val="24"/>
              </w:rPr>
              <w:t>序号</w:t>
            </w:r>
          </w:p>
        </w:tc>
        <w:tc>
          <w:tcPr>
            <w:tcW w:w="3402" w:type="dxa"/>
            <w:noWrap/>
            <w:vAlign w:val="center"/>
          </w:tcPr>
          <w:p>
            <w:pPr>
              <w:overflowPunct/>
              <w:spacing w:line="240" w:lineRule="auto"/>
              <w:ind w:firstLineChars="0" w:firstLine="0"/>
              <w:jc w:val="center"/>
              <w:rPr>
                <w:rFonts w:ascii="方正小标宋_GBK" w:eastAsia="方正小标宋_GBK" w:cs="Times New Roman"/>
                <w:color w:val="000000"/>
                <w:sz w:val="24"/>
                <w:szCs w:val="24"/>
              </w:rPr>
            </w:pPr>
            <w:r>
              <w:rPr>
                <w:rFonts w:ascii="方正小标宋_GBK" w:eastAsia="方正小标宋_GBK" w:cs="Times New Roman" w:hint="eastAsia"/>
                <w:color w:val="000000"/>
                <w:sz w:val="24"/>
                <w:szCs w:val="24"/>
              </w:rPr>
              <w:t>单位</w:t>
            </w:r>
          </w:p>
        </w:tc>
        <w:tc>
          <w:tcPr>
            <w:tcW w:w="709" w:type="dxa"/>
            <w:noWrap/>
            <w:vAlign w:val="center"/>
          </w:tcPr>
          <w:p>
            <w:pPr>
              <w:overflowPunct/>
              <w:spacing w:line="240" w:lineRule="auto"/>
              <w:ind w:firstLineChars="0" w:firstLine="0"/>
              <w:jc w:val="center"/>
              <w:rPr>
                <w:rFonts w:ascii="方正小标宋_GBK" w:eastAsia="方正小标宋_GBK" w:cs="Times New Roman"/>
                <w:color w:val="000000"/>
                <w:sz w:val="24"/>
                <w:szCs w:val="24"/>
              </w:rPr>
            </w:pPr>
            <w:r>
              <w:rPr>
                <w:rFonts w:ascii="方正小标宋_GBK" w:eastAsia="方正小标宋_GBK" w:cs="Times New Roman" w:hint="eastAsia"/>
                <w:color w:val="000000"/>
                <w:sz w:val="24"/>
                <w:szCs w:val="24"/>
              </w:rPr>
              <w:t>序号</w:t>
            </w:r>
          </w:p>
        </w:tc>
        <w:tc>
          <w:tcPr>
            <w:tcW w:w="3544" w:type="dxa"/>
            <w:noWrap/>
            <w:vAlign w:val="center"/>
          </w:tcPr>
          <w:p>
            <w:pPr>
              <w:overflowPunct/>
              <w:spacing w:line="240" w:lineRule="auto"/>
              <w:ind w:firstLineChars="0" w:firstLine="0"/>
              <w:jc w:val="center"/>
              <w:rPr>
                <w:rFonts w:ascii="方正小标宋_GBK" w:eastAsia="方正小标宋_GBK" w:cs="Times New Roman"/>
                <w:color w:val="000000"/>
                <w:sz w:val="24"/>
                <w:szCs w:val="24"/>
              </w:rPr>
            </w:pPr>
            <w:r>
              <w:rPr>
                <w:rFonts w:ascii="方正小标宋_GBK" w:eastAsia="方正小标宋_GBK" w:cs="Times New Roman" w:hint="eastAsia"/>
                <w:color w:val="000000"/>
                <w:sz w:val="24"/>
                <w:szCs w:val="24"/>
              </w:rPr>
              <w:t>单位</w:t>
            </w:r>
          </w:p>
        </w:tc>
      </w:tr>
      <w:tr>
        <w:trPr>
          <w:trHeight w:val="624"/>
        </w:trPr>
        <w:tc>
          <w:tcPr>
            <w:tcW w:w="709" w:type="dxa"/>
            <w:noWrap/>
            <w:vAlign w:val="center"/>
          </w:tcPr>
          <w:p>
            <w:pPr>
              <w:overflowPunct/>
              <w:spacing w:line="240" w:lineRule="auto"/>
              <w:ind w:firstLineChars="0" w:firstLine="0"/>
              <w:jc w:val="center"/>
              <w:rPr>
                <w:rFonts w:eastAsia="方正黑体_GBK" w:cs="Times New Roman"/>
                <w:color w:val="000000"/>
                <w:sz w:val="21"/>
                <w:szCs w:val="21"/>
              </w:rPr>
            </w:pPr>
            <w:r>
              <w:rPr>
                <w:rFonts w:eastAsia="方正黑体_GBK" w:cs="Times New Roman"/>
                <w:color w:val="000000"/>
                <w:sz w:val="21"/>
                <w:szCs w:val="21"/>
              </w:rPr>
              <w:t>1</w:t>
            </w:r>
          </w:p>
        </w:tc>
        <w:tc>
          <w:tcPr>
            <w:tcW w:w="3402" w:type="dxa"/>
            <w:noWrap/>
            <w:vAlign w:val="center"/>
          </w:tcPr>
          <w:p>
            <w:pPr>
              <w:overflowPunct/>
              <w:spacing w:line="240" w:lineRule="auto"/>
              <w:ind w:firstLineChars="0" w:firstLine="0"/>
              <w:jc w:val="left"/>
              <w:rPr>
                <w:rFonts w:ascii="宋体" w:eastAsia="宋体" w:cs="Times New Roman"/>
                <w:color w:val="000000"/>
                <w:sz w:val="21"/>
                <w:szCs w:val="21"/>
              </w:rPr>
            </w:pPr>
            <w:r>
              <w:rPr>
                <w:rFonts w:hint="eastAsia"/>
                <w:color w:val="000000"/>
                <w:sz w:val="21"/>
                <w:szCs w:val="21"/>
              </w:rPr>
              <w:t>大连海关本级</w:t>
            </w:r>
          </w:p>
        </w:tc>
        <w:tc>
          <w:tcPr>
            <w:tcW w:w="709" w:type="dxa"/>
            <w:noWrap/>
            <w:vAlign w:val="center"/>
          </w:tcPr>
          <w:p>
            <w:pPr>
              <w:overflowPunct/>
              <w:spacing w:line="240" w:lineRule="auto"/>
              <w:ind w:firstLineChars="0" w:firstLine="0"/>
              <w:jc w:val="center"/>
              <w:rPr>
                <w:rFonts w:eastAsia="方正黑体_GBK" w:cs="Times New Roman"/>
                <w:color w:val="000000"/>
                <w:sz w:val="21"/>
                <w:szCs w:val="21"/>
              </w:rPr>
            </w:pPr>
          </w:p>
        </w:tc>
        <w:tc>
          <w:tcPr>
            <w:tcW w:w="3544" w:type="dxa"/>
            <w:noWrap/>
            <w:vAlign w:val="center"/>
          </w:tcPr>
          <w:p>
            <w:pPr>
              <w:overflowPunct/>
              <w:spacing w:line="240" w:lineRule="auto"/>
              <w:ind w:firstLineChars="0" w:firstLine="0"/>
              <w:jc w:val="left"/>
              <w:rPr>
                <w:rFonts w:ascii="宋体" w:eastAsia="宋体" w:cs="Times New Roman"/>
                <w:color w:val="000000"/>
                <w:sz w:val="21"/>
                <w:szCs w:val="21"/>
              </w:rPr>
            </w:pPr>
          </w:p>
        </w:tc>
      </w:tr>
    </w:tbl>
    <w:p>
      <w:pPr>
        <w:widowControl/>
        <w:overflowPunct/>
        <w:spacing w:line="240" w:lineRule="auto"/>
        <w:ind w:firstLineChars="0" w:firstLine="0"/>
        <w:jc w:val="left"/>
      </w:pPr>
      <w:r>
        <w:br w:type="page"/>
      </w: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outlineLvl w:val="0"/>
        <w:rPr>
          <w:rFonts w:ascii="方正小标宋_GBK" w:eastAsia="方正小标宋_GBK"/>
          <w:sz w:val="84"/>
          <w:szCs w:val="84"/>
        </w:rPr>
      </w:pPr>
      <w:r>
        <w:rPr>
          <w:rFonts w:ascii="方正小标宋_GBK" w:eastAsia="方正小标宋_GBK" w:hint="eastAsia"/>
          <w:sz w:val="84"/>
          <w:szCs w:val="84"/>
        </w:rPr>
        <w:t>第二部分</w:t>
      </w:r>
      <w:r>
        <w:rPr>
          <w:rFonts w:ascii="方正小标宋_GBK" w:eastAsia="方正小标宋_GBK"/>
          <w:sz w:val="84"/>
          <w:szCs w:val="84"/>
        </w:rPr>
        <w:br/>
        <w:t>大连海关本级</w:t>
      </w:r>
      <w:r>
        <w:rPr>
          <w:rFonts w:ascii="方正小标宋_GBK" w:eastAsia="方正小标宋_GBK" w:hint="eastAsia"/>
          <w:sz w:val="84"/>
          <w:szCs w:val="84"/>
        </w:rPr>
        <w:t>2023年</w:t>
      </w:r>
      <w:r>
        <w:rPr>
          <w:rFonts w:ascii="方正小标宋_GBK" w:eastAsia="方正小标宋_GBK"/>
          <w:sz w:val="84"/>
          <w:szCs w:val="84"/>
        </w:rPr>
        <w:br/>
      </w:r>
      <w:r>
        <w:rPr>
          <w:rFonts w:ascii="方正小标宋_GBK" w:eastAsia="方正小标宋_GBK" w:hint="eastAsia"/>
          <w:sz w:val="84"/>
          <w:szCs w:val="84"/>
        </w:rPr>
        <w:t>部门预算表</w:t>
      </w:r>
    </w:p>
    <w:p>
      <w:pPr>
        <w:widowControl/>
        <w:overflowPunct/>
        <w:spacing w:line="240" w:lineRule="auto"/>
        <w:ind w:firstLineChars="0" w:firstLine="0"/>
        <w:jc w:val="left"/>
        <w:rPr>
          <w:rFonts w:ascii="方正小标宋_GBK" w:eastAsia="方正小标宋_GBK"/>
          <w:sz w:val="84"/>
          <w:szCs w:val="84"/>
        </w:rPr>
      </w:pPr>
      <w:r>
        <w:rPr>
          <w:rFonts w:ascii="方正小标宋_GBK" w:eastAsia="方正小标宋_GBK"/>
          <w:sz w:val="84"/>
          <w:szCs w:val="84"/>
        </w:rPr>
        <w:br w:type="page"/>
      </w:r>
    </w:p>
    <w:p>
      <w:pPr>
        <w:pStyle w:val="22"/>
        <w:sectPr>
          <w:headerReference w:type="default" r:id="rId2"/>
          <w:headerReference w:type="first" r:id="rId3"/>
          <w:footerReference w:type="default" r:id="rId4"/>
          <w:pgSz w:w="11906" w:h="16838"/>
          <w:pgMar w:top="1440" w:right="1800" w:bottom="1440" w:left="1800" w:header="851" w:footer="992" w:gutter="0"/>
          <w:pgNumType w:start="0"/>
          <w:titlePg/>
          <w:docGrid w:type="lines" w:linePitch="435" w:charSpace="0"/>
        </w:sectPr>
      </w:pPr>
    </w:p>
    <w:p>
      <w:pPr>
        <w:pStyle w:val="22"/>
        <w:outlineLvl w:val="1"/>
      </w:pPr>
      <w:r>
        <w:rPr>
          <w:rFonts w:hint="eastAsia"/>
        </w:rPr>
        <w:t>一、部门收支总表</w:t>
      </w: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686"/>
        <w:gridCol w:w="3260"/>
        <w:gridCol w:w="3827"/>
        <w:gridCol w:w="3119"/>
      </w:tblGrid>
      <w:tr>
        <w:trPr>
          <w:trHeight w:val="319"/>
        </w:trPr>
        <w:tc>
          <w:tcPr>
            <w:tcW w:w="10773" w:type="dxa"/>
            <w:gridSpan w:val="3"/>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宋体" w:cs="宋体"/>
                <w:kern w:val="0"/>
                <w:sz w:val="24"/>
                <w:szCs w:val="24"/>
              </w:rPr>
            </w:pPr>
          </w:p>
        </w:tc>
        <w:tc>
          <w:tcPr>
            <w:tcW w:w="3119"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黑体" w:cs="宋体"/>
                <w:color w:val="000000"/>
                <w:kern w:val="0"/>
                <w:sz w:val="20"/>
                <w:szCs w:val="20"/>
              </w:rPr>
            </w:pPr>
            <w:r>
              <w:rPr>
                <w:rFonts w:eastAsia="黑体" w:cs="宋体" w:hint="eastAsia"/>
                <w:color w:val="000000"/>
                <w:kern w:val="0"/>
                <w:sz w:val="20"/>
                <w:szCs w:val="20"/>
              </w:rPr>
              <w:t>部门公开表1</w:t>
            </w:r>
          </w:p>
        </w:tc>
      </w:tr>
      <w:tr>
        <w:trPr>
          <w:trHeight w:val="540"/>
        </w:trPr>
        <w:tc>
          <w:tcPr>
            <w:tcW w:w="13892" w:type="dxa"/>
            <w:gridSpan w:val="4"/>
            <w:tcBorders>
              <w:top w:val="nil"/>
              <w:left w:val="nil"/>
              <w:bottom w:val="nil"/>
              <w:right w:val="nil"/>
            </w:tcBorders>
            <w:shd w:val="clear" w:color="auto" w:fill="auto"/>
            <w:noWrap/>
            <w:vAlign w:val="center"/>
          </w:tcPr>
          <w:p>
            <w:pPr>
              <w:widowControl/>
              <w:overflowPunct/>
              <w:spacing w:line="240" w:lineRule="auto"/>
              <w:ind w:firstLineChars="0" w:firstLine="0"/>
              <w:jc w:val="center"/>
              <w:rPr>
                <w:rFonts w:eastAsia="宋体" w:cs="宋体"/>
                <w:color w:val="000000"/>
                <w:kern w:val="0"/>
                <w:sz w:val="36"/>
                <w:szCs w:val="36"/>
              </w:rPr>
            </w:pPr>
            <w:r>
              <w:rPr>
                <w:rFonts w:eastAsia="宋体" w:cs="宋体" w:hint="eastAsia"/>
                <w:color w:val="000000"/>
                <w:kern w:val="0"/>
                <w:sz w:val="36"/>
                <w:szCs w:val="36"/>
              </w:rPr>
              <w:t>部门收支总表</w:t>
            </w:r>
          </w:p>
        </w:tc>
      </w:tr>
      <w:tr>
        <w:trPr>
          <w:trHeight w:val="360"/>
        </w:trPr>
        <w:tc>
          <w:tcPr>
            <w:tcW w:w="3686"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18"/>
                <w:szCs w:val="18"/>
              </w:rPr>
            </w:pPr>
            <w:r>
              <w:rPr>
                <w:rFonts w:eastAsia="宋体" w:cs="宋体" w:hint="eastAsia"/>
                <w:color w:val="000000"/>
                <w:kern w:val="0"/>
                <w:sz w:val="18"/>
                <w:szCs w:val="18"/>
              </w:rPr>
              <w:t>　</w:t>
            </w:r>
          </w:p>
        </w:tc>
        <w:tc>
          <w:tcPr>
            <w:tcW w:w="326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3827"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3119"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宋体" w:cs="宋体"/>
                <w:color w:val="000000"/>
                <w:kern w:val="0"/>
                <w:sz w:val="20"/>
                <w:szCs w:val="20"/>
              </w:rPr>
            </w:pPr>
            <w:r>
              <w:rPr>
                <w:rFonts w:eastAsia="宋体" w:cs="宋体" w:hint="eastAsia"/>
                <w:color w:val="000000"/>
                <w:kern w:val="0"/>
                <w:sz w:val="20"/>
                <w:szCs w:val="20"/>
              </w:rPr>
              <w:t>单位：万元</w:t>
            </w:r>
          </w:p>
        </w:tc>
      </w:tr>
      <w:tr>
        <w:trPr>
          <w:trHeight w:val="360"/>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收      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支      出</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项    目</w:t>
            </w:r>
          </w:p>
        </w:tc>
        <w:tc>
          <w:tcPr>
            <w:tcW w:w="3260"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预算数</w:t>
            </w:r>
          </w:p>
        </w:tc>
        <w:tc>
          <w:tcPr>
            <w:tcW w:w="382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项    目</w:t>
            </w:r>
          </w:p>
        </w:tc>
        <w:tc>
          <w:tcPr>
            <w:tcW w:w="3119"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预算数</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一、一般公共预算拨款收入</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23,480.29</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hint="eastAsia"/>
                <w:color w:val="000000"/>
                <w:kern w:val="0"/>
                <w:sz w:val="20"/>
                <w:szCs w:val="20"/>
              </w:rPr>
              <w:t>一、一般公共服务支出</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27,300.09</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二、政府性基金预算拨款收入</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hint="eastAsia"/>
                <w:color w:val="000000"/>
                <w:kern w:val="0"/>
                <w:sz w:val="20"/>
                <w:szCs w:val="20"/>
              </w:rPr>
              <w:t>二、外交支出</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三、国有资本经营预算拨款收入</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三、公共安全支出</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3,873.44</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四、事业收入</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四、教育支出</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五、事业单位经营收入</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五、社会保障和就业支出</w:t>
            </w:r>
          </w:p>
        </w:tc>
        <w:tc>
          <w:tcPr>
            <w:tcW w:w="3119" w:type="dxa"/>
            <w:tcBorders>
              <w:top w:val="nil"/>
              <w:left w:val="nil"/>
              <w:bottom w:val="single" w:sz="4" w:space="0" w:color="auto"/>
              <w:right w:val="single" w:sz="4" w:space="0" w:color="auto"/>
            </w:tcBorders>
            <w:shd w:val="clear" w:color="auto" w:fill="auto"/>
            <w:noWrap/>
            <w:vAlign w:val="bottom"/>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20"/>
                <w:szCs w:val="20"/>
              </w:rPr>
              <w:t>3,770.70</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六、其他收入</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12,615</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六、卫生健康支出</w:t>
            </w:r>
          </w:p>
        </w:tc>
        <w:tc>
          <w:tcPr>
            <w:tcW w:w="3119" w:type="dxa"/>
            <w:tcBorders>
              <w:top w:val="nil"/>
              <w:left w:val="nil"/>
              <w:bottom w:val="single" w:sz="4" w:space="0" w:color="auto"/>
              <w:right w:val="single" w:sz="4" w:space="0" w:color="auto"/>
            </w:tcBorders>
            <w:shd w:val="clear" w:color="auto" w:fill="auto"/>
            <w:noWrap/>
            <w:vAlign w:val="bottom"/>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20"/>
                <w:szCs w:val="20"/>
              </w:rPr>
              <w:t>1,315.79</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七、住房保障支出</w:t>
            </w:r>
          </w:p>
        </w:tc>
        <w:tc>
          <w:tcPr>
            <w:tcW w:w="3119" w:type="dxa"/>
            <w:tcBorders>
              <w:top w:val="nil"/>
              <w:left w:val="nil"/>
              <w:bottom w:val="single" w:sz="4" w:space="0" w:color="auto"/>
              <w:right w:val="single" w:sz="4" w:space="0" w:color="auto"/>
            </w:tcBorders>
            <w:shd w:val="clear" w:color="auto" w:fill="auto"/>
            <w:noWrap/>
            <w:vAlign w:val="bottom"/>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20"/>
                <w:szCs w:val="20"/>
              </w:rPr>
              <w:t>5,681.64</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color w:val="000000"/>
                <w:kern w:val="0"/>
                <w:sz w:val="20"/>
                <w:szCs w:val="20"/>
              </w:rPr>
              <w:t>　</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本年收入合计</w:t>
            </w:r>
          </w:p>
        </w:tc>
        <w:tc>
          <w:tcPr>
            <w:tcW w:w="3260" w:type="dxa"/>
            <w:tcBorders>
              <w:top w:val="nil"/>
              <w:left w:val="nil"/>
              <w:bottom w:val="single" w:sz="4" w:space="0" w:color="auto"/>
              <w:right w:val="single" w:sz="4" w:space="0" w:color="auto"/>
            </w:tcBorders>
            <w:shd w:val="clear" w:color="auto" w:fill="auto"/>
            <w:noWrap/>
            <w:vAlign w:val="bottom"/>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20"/>
                <w:szCs w:val="20"/>
              </w:rPr>
              <w:t>36,095.29</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r>
              <w:rPr>
                <w:rFonts w:eastAsia="宋体" w:cs="Times New Roman" w:hint="eastAsia"/>
                <w:color w:val="000000"/>
                <w:kern w:val="0"/>
                <w:sz w:val="20"/>
                <w:szCs w:val="20"/>
              </w:rPr>
              <w:t>本年支出合计</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41,941.66</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使用非财政拨款结余</w:t>
            </w:r>
          </w:p>
        </w:tc>
        <w:tc>
          <w:tcPr>
            <w:tcW w:w="3260" w:type="dxa"/>
            <w:tcBorders>
              <w:top w:val="nil"/>
              <w:left w:val="nil"/>
              <w:bottom w:val="single" w:sz="4" w:space="0" w:color="auto"/>
              <w:right w:val="single" w:sz="4" w:space="0" w:color="auto"/>
            </w:tcBorders>
            <w:shd w:val="clear" w:color="auto" w:fill="auto"/>
            <w:noWrap/>
            <w:vAlign w:val="bottom"/>
          </w:tcPr>
          <w:p>
            <w:pPr>
              <w:widowControl/>
              <w:overflowPunct/>
              <w:spacing w:line="240" w:lineRule="auto"/>
              <w:ind w:firstLineChars="0" w:firstLine="0"/>
              <w:jc w:val="right"/>
              <w:rPr>
                <w:rFonts w:eastAsia="宋体" w:cs="Times New Roman"/>
                <w:color w:val="000000"/>
                <w:kern w:val="0"/>
                <w:sz w:val="20"/>
                <w:szCs w:val="20"/>
              </w:rPr>
            </w:pP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hint="eastAsia"/>
                <w:color w:val="000000"/>
                <w:kern w:val="0"/>
                <w:sz w:val="20"/>
                <w:szCs w:val="20"/>
              </w:rPr>
              <w:t>结转下年（非财政拨款）</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上年结转</w:t>
            </w:r>
          </w:p>
        </w:tc>
        <w:tc>
          <w:tcPr>
            <w:tcW w:w="3260" w:type="dxa"/>
            <w:tcBorders>
              <w:top w:val="nil"/>
              <w:left w:val="nil"/>
              <w:bottom w:val="single" w:sz="4" w:space="0" w:color="auto"/>
              <w:right w:val="single" w:sz="4" w:space="0" w:color="auto"/>
            </w:tcBorders>
            <w:shd w:val="clear" w:color="auto" w:fill="auto"/>
            <w:noWrap/>
            <w:vAlign w:val="bottom"/>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20"/>
                <w:szCs w:val="20"/>
              </w:rPr>
              <w:t>5,846.37</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color w:val="000000"/>
                <w:kern w:val="0"/>
                <w:sz w:val="20"/>
                <w:szCs w:val="20"/>
              </w:rPr>
              <w:t>　</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xml:space="preserve">            收    入    总    计</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41,941.66</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hint="eastAsia"/>
                <w:color w:val="000000"/>
                <w:kern w:val="0"/>
                <w:sz w:val="20"/>
                <w:szCs w:val="20"/>
              </w:rPr>
              <w:t>支出总计</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41,941.66</w:t>
            </w:r>
          </w:p>
        </w:tc>
      </w:tr>
    </w:tbl>
    <w:p>
      <w:pPr>
        <w:widowControl/>
        <w:overflowPunct/>
        <w:spacing w:line="240" w:lineRule="auto"/>
        <w:ind w:firstLineChars="0" w:firstLine="0"/>
        <w:jc w:val="left"/>
      </w:pPr>
      <w:r>
        <w:br w:type="page"/>
      </w:r>
    </w:p>
    <w:p>
      <w:pPr>
        <w:pStyle w:val="22"/>
        <w:outlineLvl w:val="1"/>
      </w:pPr>
      <w:r>
        <w:rPr>
          <w:rFonts w:hint="eastAsia"/>
        </w:rPr>
        <w:t>二、部门收入总表</w:t>
      </w:r>
    </w:p>
    <w:tbl>
      <w:tblPr>
        <w:jc w:val="center"/>
        <w:tblW w:w="13608"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216"/>
        <w:gridCol w:w="1360"/>
        <w:gridCol w:w="1220"/>
        <w:gridCol w:w="880"/>
        <w:gridCol w:w="880"/>
        <w:gridCol w:w="1116"/>
        <w:gridCol w:w="1120"/>
        <w:gridCol w:w="1139"/>
        <w:gridCol w:w="1134"/>
        <w:gridCol w:w="1087"/>
        <w:gridCol w:w="1166"/>
        <w:gridCol w:w="1290"/>
      </w:tblGrid>
      <w:tr>
        <w:trPr>
          <w:trHeight w:val="270"/>
        </w:trPr>
        <w:tc>
          <w:tcPr>
            <w:tcW w:w="1216"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宋体" w:cs="宋体"/>
                <w:kern w:val="0"/>
                <w:sz w:val="24"/>
                <w:szCs w:val="24"/>
              </w:rPr>
            </w:pPr>
          </w:p>
        </w:tc>
        <w:tc>
          <w:tcPr>
            <w:tcW w:w="1360"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220"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880"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880"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16"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20"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39"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34"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087"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2456" w:type="dxa"/>
            <w:gridSpan w:val="2"/>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黑体" w:cs="宋体"/>
                <w:kern w:val="0"/>
                <w:sz w:val="20"/>
                <w:szCs w:val="20"/>
              </w:rPr>
            </w:pPr>
            <w:r>
              <w:rPr>
                <w:rFonts w:eastAsia="黑体" w:cs="宋体" w:hint="eastAsia"/>
                <w:kern w:val="0"/>
                <w:sz w:val="20"/>
                <w:szCs w:val="20"/>
              </w:rPr>
              <w:t>部门公开表2</w:t>
            </w:r>
          </w:p>
        </w:tc>
      </w:tr>
      <w:tr>
        <w:trPr>
          <w:trHeight w:val="405"/>
        </w:trPr>
        <w:tc>
          <w:tcPr>
            <w:tcW w:w="13608" w:type="dxa"/>
            <w:gridSpan w:val="12"/>
            <w:tcBorders>
              <w:top w:val="nil"/>
              <w:left w:val="nil"/>
              <w:bottom w:val="nil"/>
              <w:right w:val="nil"/>
            </w:tcBorders>
            <w:shd w:val="clear" w:color="auto" w:fill="auto"/>
            <w:noWrap/>
            <w:vAlign w:val="center"/>
          </w:tcPr>
          <w:p>
            <w:pPr>
              <w:widowControl/>
              <w:overflowPunct/>
              <w:spacing w:line="240" w:lineRule="auto"/>
              <w:ind w:firstLineChars="0" w:firstLine="0"/>
              <w:jc w:val="center"/>
              <w:rPr>
                <w:rFonts w:eastAsia="宋体" w:cs="宋体"/>
                <w:kern w:val="0"/>
                <w:sz w:val="36"/>
                <w:szCs w:val="36"/>
              </w:rPr>
            </w:pPr>
            <w:r>
              <w:rPr>
                <w:rFonts w:eastAsia="宋体" w:cs="宋体" w:hint="eastAsia"/>
                <w:kern w:val="0"/>
                <w:sz w:val="36"/>
                <w:szCs w:val="36"/>
              </w:rPr>
              <w:t>部门收入总表</w:t>
            </w:r>
          </w:p>
        </w:tc>
      </w:tr>
      <w:tr>
        <w:trPr>
          <w:trHeight w:val="270"/>
        </w:trPr>
        <w:tc>
          <w:tcPr>
            <w:tcW w:w="1216"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36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22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88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88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16"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2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39"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34"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087"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66"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29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单位：万元</w:t>
            </w:r>
          </w:p>
        </w:tc>
      </w:tr>
      <w:tr>
        <w:trPr>
          <w:trHeight w:val="270"/>
        </w:trPr>
        <w:tc>
          <w:tcPr>
            <w:tcW w:w="1216"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合计</w:t>
            </w:r>
          </w:p>
        </w:tc>
        <w:tc>
          <w:tcPr>
            <w:tcW w:w="1360" w:type="dxa"/>
            <w:vMerge w:val="restart"/>
            <w:tcBorders>
              <w:top w:val="nil"/>
              <w:left w:val="single" w:sz="4" w:space="0" w:color="auto"/>
              <w:bottom w:val="nil"/>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上年结转</w:t>
            </w:r>
          </w:p>
        </w:tc>
        <w:tc>
          <w:tcPr>
            <w:tcW w:w="1220"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一般公共预算拨款收入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政府性基金预算拨款收入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国有资本经营预算拨款收入</w:t>
            </w:r>
          </w:p>
        </w:tc>
        <w:tc>
          <w:tcPr>
            <w:tcW w:w="223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事业收入</w:t>
            </w:r>
          </w:p>
        </w:tc>
        <w:tc>
          <w:tcPr>
            <w:tcW w:w="1139" w:type="dxa"/>
            <w:vMerge w:val="restart"/>
            <w:tcBorders>
              <w:top w:val="single" w:sz="4" w:space="0" w:color="auto"/>
              <w:left w:val="single" w:sz="4" w:space="0" w:color="auto"/>
              <w:bottom w:val="nil"/>
              <w:right w:val="nil"/>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事业单位经营收入</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上级补助收入</w:t>
            </w:r>
          </w:p>
        </w:tc>
        <w:tc>
          <w:tcPr>
            <w:tcW w:w="10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附属单位上缴收入</w:t>
            </w:r>
          </w:p>
        </w:tc>
        <w:tc>
          <w:tcPr>
            <w:tcW w:w="11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其他收入</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使用非财政拨款结余</w:t>
            </w:r>
          </w:p>
        </w:tc>
      </w:tr>
      <w:tr>
        <w:trPr>
          <w:trHeight w:val="480"/>
        </w:trPr>
        <w:tc>
          <w:tcPr>
            <w:tcW w:w="1216" w:type="dxa"/>
            <w:vMerge/>
            <w:tcBorders>
              <w:top w:val="nil"/>
              <w:left w:val="single" w:sz="4" w:space="0" w:color="auto"/>
              <w:bottom w:val="single" w:sz="4" w:space="0" w:color="auto"/>
              <w:right w:val="single" w:sz="4" w:space="0" w:color="auto"/>
            </w:tcBorders>
            <w:vAlign w:val="center"/>
          </w:tcPr>
          <w:p/>
        </w:tc>
        <w:tc>
          <w:tcPr>
            <w:tcW w:w="1360" w:type="dxa"/>
            <w:vMerge/>
            <w:tcBorders>
              <w:top w:val="nil"/>
              <w:left w:val="single" w:sz="4" w:space="0" w:color="auto"/>
              <w:bottom w:val="nil"/>
              <w:right w:val="single" w:sz="4" w:space="0" w:color="auto"/>
            </w:tcBorders>
            <w:vAlign w:val="center"/>
          </w:tcPr>
          <w:p/>
        </w:tc>
        <w:tc>
          <w:tcPr>
            <w:tcW w:w="1220" w:type="dxa"/>
            <w:vMerge/>
            <w:tcBorders>
              <w:top w:val="nil"/>
              <w:left w:val="single" w:sz="4" w:space="0" w:color="auto"/>
              <w:bottom w:val="single" w:sz="4" w:space="0" w:color="auto"/>
              <w:right w:val="single" w:sz="4" w:space="0" w:color="auto"/>
            </w:tcBorders>
            <w:vAlign w:val="center"/>
          </w:tcPr>
          <w:p/>
        </w:tc>
        <w:tc>
          <w:tcPr>
            <w:tcW w:w="880" w:type="dxa"/>
            <w:vMerge/>
            <w:tcBorders>
              <w:top w:val="nil"/>
              <w:left w:val="single" w:sz="4" w:space="0" w:color="auto"/>
              <w:bottom w:val="single" w:sz="4" w:space="0" w:color="auto"/>
              <w:right w:val="single" w:sz="4" w:space="0" w:color="auto"/>
            </w:tcBorders>
            <w:vAlign w:val="center"/>
          </w:tcPr>
          <w:p/>
        </w:tc>
        <w:tc>
          <w:tcPr>
            <w:tcW w:w="880" w:type="dxa"/>
            <w:vMerge/>
            <w:tcBorders>
              <w:top w:val="nil"/>
              <w:left w:val="single" w:sz="4" w:space="0" w:color="auto"/>
              <w:bottom w:val="single" w:sz="4" w:space="0" w:color="auto"/>
              <w:right w:val="single" w:sz="4" w:space="0" w:color="auto"/>
            </w:tcBorders>
            <w:vAlign w:val="center"/>
          </w:tcPr>
          <w:p/>
        </w:tc>
        <w:tc>
          <w:tcPr>
            <w:tcW w:w="1116"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金额</w:t>
            </w:r>
          </w:p>
        </w:tc>
        <w:tc>
          <w:tcPr>
            <w:tcW w:w="1120"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其中：教育收费</w:t>
            </w:r>
          </w:p>
        </w:tc>
        <w:tc>
          <w:tcPr>
            <w:tcW w:w="1139" w:type="dxa"/>
            <w:vMerge/>
            <w:tcBorders>
              <w:top w:val="single" w:sz="4" w:space="0" w:color="auto"/>
              <w:left w:val="single" w:sz="4" w:space="0" w:color="auto"/>
              <w:bottom w:val="nil"/>
              <w:right w:val="nil"/>
            </w:tcBorders>
            <w:vAlign w:val="center"/>
          </w:tcPr>
          <w:p/>
        </w:tc>
        <w:tc>
          <w:tcPr>
            <w:tcW w:w="1134" w:type="dxa"/>
            <w:vMerge/>
            <w:tcBorders>
              <w:top w:val="single" w:sz="4" w:space="0" w:color="auto"/>
              <w:left w:val="single" w:sz="4" w:space="0" w:color="auto"/>
              <w:bottom w:val="single" w:sz="4" w:space="0" w:color="000000"/>
              <w:right w:val="single" w:sz="4" w:space="0" w:color="auto"/>
            </w:tcBorders>
            <w:vAlign w:val="center"/>
          </w:tcPr>
          <w:p/>
        </w:tc>
        <w:tc>
          <w:tcPr>
            <w:tcW w:w="1087" w:type="dxa"/>
            <w:vMerge/>
            <w:tcBorders>
              <w:top w:val="single" w:sz="4" w:space="0" w:color="auto"/>
              <w:left w:val="single" w:sz="4" w:space="0" w:color="auto"/>
              <w:bottom w:val="single" w:sz="4" w:space="0" w:color="auto"/>
              <w:right w:val="single" w:sz="4" w:space="0" w:color="auto"/>
            </w:tcBorders>
            <w:vAlign w:val="center"/>
          </w:tcPr>
          <w:p/>
        </w:tc>
        <w:tc>
          <w:tcPr>
            <w:tcW w:w="1166" w:type="dxa"/>
            <w:vMerge/>
            <w:tcBorders>
              <w:top w:val="single" w:sz="4" w:space="0" w:color="auto"/>
              <w:left w:val="single" w:sz="4" w:space="0" w:color="auto"/>
              <w:bottom w:val="single" w:sz="4" w:space="0" w:color="auto"/>
              <w:right w:val="single" w:sz="4" w:space="0" w:color="auto"/>
            </w:tcBorders>
            <w:vAlign w:val="center"/>
          </w:tcPr>
          <w:p/>
        </w:tc>
        <w:tc>
          <w:tcPr>
            <w:tcW w:w="1290" w:type="dxa"/>
            <w:vMerge/>
            <w:tcBorders>
              <w:top w:val="single" w:sz="4" w:space="0" w:color="auto"/>
              <w:left w:val="single" w:sz="4" w:space="0" w:color="auto"/>
              <w:bottom w:val="single" w:sz="4" w:space="0" w:color="auto"/>
              <w:right w:val="single" w:sz="4" w:space="0" w:color="auto"/>
            </w:tcBorders>
            <w:vAlign w:val="center"/>
          </w:tcPr>
          <w:p/>
        </w:tc>
      </w:tr>
      <w:tr>
        <w:trPr>
          <w:trHeight w:val="270"/>
        </w:trPr>
        <w:tc>
          <w:tcPr>
            <w:tcW w:w="1216" w:type="dxa"/>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r>
              <w:rPr>
                <w:rFonts w:eastAsia="宋体" w:cs="Times New Roman" w:hint="eastAsia"/>
                <w:color w:val="000000"/>
                <w:kern w:val="0"/>
                <w:sz w:val="20"/>
                <w:szCs w:val="20"/>
              </w:rPr>
              <w:t>41,941.66</w:t>
            </w:r>
          </w:p>
        </w:tc>
        <w:tc>
          <w:tcPr>
            <w:tcW w:w="1360"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r>
              <w:rPr>
                <w:rFonts w:cs="Calibri" w:hint="eastAsia"/>
                <w:sz w:val="20"/>
                <w:szCs w:val="20"/>
              </w:rPr>
              <w:t>5,846.37</w:t>
            </w:r>
          </w:p>
        </w:tc>
        <w:tc>
          <w:tcPr>
            <w:tcW w:w="1220"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r>
              <w:rPr>
                <w:rFonts w:eastAsia="宋体" w:cs="Times New Roman" w:hint="eastAsia"/>
                <w:color w:val="000000"/>
                <w:kern w:val="0"/>
                <w:sz w:val="20"/>
                <w:szCs w:val="20"/>
              </w:rPr>
              <w:t>23,480.29</w:t>
            </w:r>
          </w:p>
        </w:tc>
        <w:tc>
          <w:tcPr>
            <w:tcW w:w="880"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c>
          <w:tcPr>
            <w:tcW w:w="880"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c>
          <w:tcPr>
            <w:tcW w:w="1116"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c>
          <w:tcPr>
            <w:tcW w:w="1120"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c>
          <w:tcPr>
            <w:tcW w:w="1139"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c>
          <w:tcPr>
            <w:tcW w:w="108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r>
              <w:rPr>
                <w:rFonts w:eastAsia="宋体" w:cs="宋体" w:hint="eastAsia"/>
                <w:kern w:val="0"/>
                <w:sz w:val="20"/>
                <w:szCs w:val="20"/>
              </w:rPr>
              <w:t>5200</w:t>
            </w:r>
          </w:p>
        </w:tc>
        <w:tc>
          <w:tcPr>
            <w:tcW w:w="1166"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r>
              <w:rPr>
                <w:rFonts w:eastAsia="宋体" w:cs="Times New Roman" w:hint="eastAsia"/>
                <w:color w:val="000000"/>
                <w:kern w:val="0"/>
                <w:sz w:val="20"/>
                <w:szCs w:val="20"/>
              </w:rPr>
              <w:t>7415</w:t>
            </w:r>
          </w:p>
        </w:tc>
        <w:tc>
          <w:tcPr>
            <w:tcW w:w="1290"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r>
    </w:tbl>
    <w:p>
      <w:pPr>
        <w:widowControl/>
        <w:overflowPunct/>
        <w:spacing w:line="240" w:lineRule="auto"/>
        <w:ind w:firstLineChars="0" w:firstLine="0"/>
        <w:jc w:val="left"/>
      </w:pPr>
      <w:r>
        <w:br w:type="page"/>
      </w:r>
    </w:p>
    <w:p>
      <w:pPr>
        <w:sectPr>
          <w:pgSz w:w="16838" w:h="11906" w:orient="landscape"/>
          <w:pgMar w:top="1797" w:right="1440" w:bottom="1797" w:left="1440" w:header="851" w:footer="992" w:gutter="0"/>
          <w:docGrid w:type="linesAndChars" w:linePitch="435" w:charSpace="0"/>
        </w:sectPr>
      </w:pPr>
    </w:p>
    <w:p>
      <w:pPr>
        <w:pStyle w:val="22"/>
        <w:outlineLvl w:val="1"/>
      </w:pPr>
      <w:r>
        <w:rPr>
          <w:rFonts w:hint="eastAsia"/>
        </w:rPr>
        <w:t>三、部门支出总表</w:t>
      </w:r>
    </w:p>
    <w:tbl>
      <w:tblPr>
        <w:jc w:val="center"/>
        <w:tblW w:w="1048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119"/>
        <w:gridCol w:w="2377"/>
        <w:gridCol w:w="1276"/>
        <w:gridCol w:w="1276"/>
        <w:gridCol w:w="1134"/>
        <w:gridCol w:w="1134"/>
        <w:gridCol w:w="893"/>
        <w:gridCol w:w="1275"/>
      </w:tblGrid>
      <w:tr>
        <w:trPr>
          <w:cantSplit/>
          <w:trHeight w:val="319"/>
        </w:trPr>
        <w:tc>
          <w:tcPr>
            <w:tcW w:w="10484" w:type="dxa"/>
            <w:gridSpan w:val="8"/>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黑体" w:cs="宋体"/>
                <w:color w:val="000000"/>
                <w:kern w:val="0"/>
                <w:sz w:val="20"/>
                <w:szCs w:val="20"/>
              </w:rPr>
            </w:pPr>
            <w:r>
              <w:rPr>
                <w:rFonts w:eastAsia="黑体" w:cs="宋体" w:hint="eastAsia"/>
                <w:color w:val="000000"/>
                <w:kern w:val="0"/>
                <w:sz w:val="20"/>
                <w:szCs w:val="20"/>
              </w:rPr>
              <w:t xml:space="preserve">部门公开表3 </w:t>
            </w:r>
          </w:p>
        </w:tc>
      </w:tr>
      <w:tr>
        <w:trPr>
          <w:cantSplit/>
          <w:trHeight w:val="540"/>
        </w:trPr>
        <w:tc>
          <w:tcPr>
            <w:tcW w:w="10484" w:type="dxa"/>
            <w:gridSpan w:val="8"/>
            <w:tcBorders>
              <w:top w:val="nil"/>
              <w:left w:val="nil"/>
              <w:bottom w:val="nil"/>
              <w:right w:val="nil"/>
            </w:tcBorders>
            <w:shd w:val="clear" w:color="auto" w:fill="auto"/>
            <w:noWrap/>
            <w:vAlign w:val="center"/>
          </w:tcPr>
          <w:p>
            <w:pPr>
              <w:widowControl/>
              <w:overflowPunct/>
              <w:spacing w:line="240" w:lineRule="auto"/>
              <w:ind w:firstLineChars="0" w:firstLine="0"/>
              <w:jc w:val="center"/>
              <w:rPr>
                <w:rFonts w:eastAsia="宋体" w:cs="宋体"/>
                <w:color w:val="000000"/>
                <w:kern w:val="0"/>
                <w:sz w:val="36"/>
                <w:szCs w:val="36"/>
              </w:rPr>
            </w:pPr>
            <w:r>
              <w:rPr>
                <w:rFonts w:eastAsia="宋体" w:cs="宋体" w:hint="eastAsia"/>
                <w:color w:val="000000"/>
                <w:kern w:val="0"/>
                <w:sz w:val="36"/>
                <w:szCs w:val="36"/>
              </w:rPr>
              <w:t xml:space="preserve"> 部门支出总表 </w:t>
            </w:r>
          </w:p>
        </w:tc>
      </w:tr>
      <w:tr>
        <w:trPr>
          <w:cantSplit/>
          <w:trHeight w:val="360"/>
        </w:trPr>
        <w:tc>
          <w:tcPr>
            <w:tcW w:w="1119" w:type="dxa"/>
            <w:tcBorders>
              <w:top w:val="nil"/>
              <w:left w:val="nil"/>
              <w:bottom w:val="nil"/>
              <w:right w:val="nil"/>
            </w:tcBorders>
            <w:shd w:val="clear" w:color="auto" w:fill="auto"/>
            <w:noWrap/>
            <w:vAlign w:val="center"/>
          </w:tcPr>
          <w:p>
            <w:pPr>
              <w:widowControl/>
              <w:overflowPunct/>
              <w:spacing w:line="240" w:lineRule="auto"/>
              <w:ind w:firstLineChars="0" w:firstLine="0"/>
              <w:jc w:val="center"/>
              <w:rPr>
                <w:rFonts w:eastAsia="宋体" w:cs="宋体"/>
                <w:color w:val="000000"/>
                <w:kern w:val="0"/>
                <w:sz w:val="36"/>
                <w:szCs w:val="36"/>
              </w:rPr>
            </w:pPr>
          </w:p>
        </w:tc>
        <w:tc>
          <w:tcPr>
            <w:tcW w:w="2377"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1276"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1276"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1134"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3302" w:type="dxa"/>
            <w:gridSpan w:val="3"/>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p>
            <w:pPr>
              <w:widowControl/>
              <w:overflowPunct/>
              <w:spacing w:line="240" w:lineRule="auto"/>
              <w:ind w:firstLineChars="0" w:firstLine="0"/>
              <w:jc w:val="right"/>
              <w:rPr>
                <w:rFonts w:eastAsia="宋体" w:cs="宋体"/>
                <w:color w:val="000000"/>
                <w:kern w:val="0"/>
                <w:sz w:val="18"/>
                <w:szCs w:val="18"/>
              </w:rPr>
            </w:pPr>
            <w:r>
              <w:rPr>
                <w:rFonts w:eastAsia="宋体" w:cs="宋体" w:hint="eastAsia"/>
                <w:color w:val="000000"/>
                <w:kern w:val="0"/>
                <w:sz w:val="18"/>
                <w:szCs w:val="18"/>
              </w:rPr>
              <w:t xml:space="preserve"> 单位：万元 </w:t>
            </w:r>
          </w:p>
        </w:tc>
      </w:tr>
      <w:tr>
        <w:trPr>
          <w:cantSplit/>
          <w:trHeight w:hRule="exact" w:val="721"/>
        </w:trPr>
        <w:tc>
          <w:tcPr>
            <w:tcW w:w="1119"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科目代码 </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科目名称 </w:t>
            </w:r>
          </w:p>
        </w:tc>
        <w:tc>
          <w:tcPr>
            <w:tcW w:w="1276"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合计 </w:t>
            </w:r>
          </w:p>
        </w:tc>
        <w:tc>
          <w:tcPr>
            <w:tcW w:w="1276"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基本支出 </w:t>
            </w:r>
          </w:p>
        </w:tc>
        <w:tc>
          <w:tcPr>
            <w:tcW w:w="1134"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项目支出 </w:t>
            </w:r>
          </w:p>
        </w:tc>
        <w:tc>
          <w:tcPr>
            <w:tcW w:w="1134"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上缴上级支出 </w:t>
            </w:r>
          </w:p>
        </w:tc>
        <w:tc>
          <w:tcPr>
            <w:tcW w:w="893"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事业单位经营支出 </w:t>
            </w:r>
          </w:p>
        </w:tc>
        <w:tc>
          <w:tcPr>
            <w:tcW w:w="1275"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对附属单位补助支出 </w:t>
            </w:r>
          </w:p>
        </w:tc>
      </w:tr>
      <w:tr>
        <w:trPr>
          <w:cantSplit/>
          <w:trHeight w:val="458"/>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b/>
                <w:bCs/>
                <w:color w:val="000000"/>
                <w:kern w:val="0"/>
                <w:sz w:val="20"/>
                <w:szCs w:val="20"/>
              </w:rPr>
            </w:pP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b/>
                <w:bCs/>
                <w:color w:val="000000"/>
                <w:kern w:val="0"/>
                <w:sz w:val="20"/>
                <w:szCs w:val="20"/>
              </w:rPr>
            </w:pPr>
            <w:r>
              <w:rPr>
                <w:rFonts w:eastAsia="宋体" w:cs="宋体" w:hint="eastAsia"/>
                <w:b/>
                <w:bCs/>
                <w:color w:val="000000"/>
                <w:kern w:val="0"/>
                <w:sz w:val="20"/>
                <w:szCs w:val="20"/>
              </w:rPr>
              <w:t>中华人民共和国大连海关本级</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r>
      <w:tr>
        <w:trPr>
          <w:cantSplit/>
          <w:trHeight w:hRule="exact" w:val="380"/>
        </w:trPr>
        <w:tc>
          <w:tcPr>
            <w:tcW w:w="1119" w:type="dxa"/>
            <w:tcBorders>
              <w:top w:val="nil"/>
              <w:left w:val="single" w:sz="4" w:space="0" w:color="auto"/>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宋体"/>
                <w:b/>
                <w:bCs/>
                <w:color w:val="000000"/>
                <w:kern w:val="0"/>
                <w:sz w:val="20"/>
                <w:szCs w:val="20"/>
              </w:rPr>
            </w:pPr>
            <w:r>
              <w:rPr>
                <w:rFonts w:eastAsia="宋体" w:cs="宋体" w:hint="eastAsia"/>
                <w:b/>
                <w:bCs/>
                <w:color w:val="000000"/>
                <w:kern w:val="0"/>
                <w:sz w:val="20"/>
                <w:szCs w:val="20"/>
              </w:rPr>
              <w:t>201</w:t>
            </w:r>
          </w:p>
        </w:tc>
        <w:tc>
          <w:tcPr>
            <w:tcW w:w="2377" w:type="dxa"/>
            <w:tcBorders>
              <w:top w:val="nil"/>
              <w:left w:val="nil"/>
              <w:bottom w:val="single" w:sz="4" w:space="0" w:color="auto"/>
              <w:right w:val="single" w:sz="4" w:space="0" w:color="auto"/>
            </w:tcBorders>
            <w:shd w:val="clear" w:color="auto" w:fill="auto"/>
          </w:tcPr>
          <w:p>
            <w:pPr>
              <w:widowControl/>
              <w:overflowPunct/>
              <w:spacing w:line="240" w:lineRule="auto"/>
              <w:ind w:firstLineChars="0" w:firstLine="0"/>
              <w:rPr>
                <w:rFonts w:eastAsia="宋体" w:cs="宋体"/>
                <w:b/>
                <w:bCs/>
                <w:color w:val="000000"/>
                <w:kern w:val="0"/>
                <w:sz w:val="20"/>
                <w:szCs w:val="20"/>
              </w:rPr>
            </w:pPr>
            <w:r>
              <w:rPr>
                <w:rFonts w:eastAsia="宋体" w:cs="宋体" w:hint="eastAsia"/>
                <w:b/>
                <w:bCs/>
                <w:color w:val="000000"/>
                <w:kern w:val="0"/>
                <w:sz w:val="20"/>
                <w:szCs w:val="20"/>
              </w:rPr>
              <w:t>一般公共服务支出</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xml:space="preserve">   27,300.09</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jc w:val="right"/>
              <w:rPr>
                <w:rFonts w:eastAsia="宋体" w:cs="Times New Roman"/>
                <w:color w:val="000000"/>
                <w:kern w:val="0"/>
                <w:sz w:val="16"/>
                <w:szCs w:val="16"/>
              </w:rPr>
            </w:pPr>
            <w:r>
              <w:rPr>
                <w:rFonts w:eastAsia="宋体" w:cs="Times New Roman" w:hint="eastAsia"/>
                <w:color w:val="000000"/>
                <w:kern w:val="0"/>
                <w:sz w:val="16"/>
                <w:szCs w:val="16"/>
              </w:rPr>
              <w:t>17,008.23</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jc w:val="right"/>
              <w:rPr>
                <w:rFonts w:eastAsia="宋体" w:cs="Times New Roman"/>
                <w:color w:val="000000"/>
                <w:kern w:val="0"/>
                <w:sz w:val="16"/>
                <w:szCs w:val="16"/>
              </w:rPr>
            </w:pPr>
            <w:r>
              <w:rPr>
                <w:rFonts w:eastAsia="宋体" w:cs="Times New Roman" w:hint="eastAsia"/>
                <w:color w:val="000000"/>
                <w:kern w:val="0"/>
                <w:sz w:val="16"/>
                <w:szCs w:val="16"/>
              </w:rPr>
              <w:t>5,091.86</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893" w:type="dxa"/>
            <w:tcBorders>
              <w:top w:val="nil"/>
              <w:left w:val="nil"/>
              <w:bottom w:val="single" w:sz="4" w:space="0" w:color="auto"/>
              <w:right w:val="single" w:sz="4" w:space="0" w:color="auto"/>
            </w:tcBorders>
            <w:shd w:val="clear" w:color="auto" w:fill="auto"/>
            <w:noWrap/>
          </w:tcPr>
          <w:p>
            <w:pPr>
              <w:widowControl/>
              <w:overflowPunct/>
              <w:spacing w:line="240" w:lineRule="auto"/>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275" w:type="dxa"/>
            <w:tcBorders>
              <w:top w:val="nil"/>
              <w:left w:val="nil"/>
              <w:bottom w:val="single" w:sz="4" w:space="0" w:color="auto"/>
              <w:right w:val="single" w:sz="4" w:space="0" w:color="auto"/>
            </w:tcBorders>
            <w:shd w:val="clear" w:color="auto" w:fill="auto"/>
            <w:noWrap/>
          </w:tcPr>
          <w:p>
            <w:pPr>
              <w:widowControl/>
              <w:overflowPunct/>
              <w:spacing w:line="240" w:lineRule="auto"/>
              <w:jc w:val="right"/>
              <w:rPr>
                <w:rFonts w:eastAsia="宋体" w:cs="Times New Roman"/>
                <w:color w:val="000000"/>
                <w:kern w:val="0"/>
                <w:sz w:val="16"/>
                <w:szCs w:val="16"/>
              </w:rPr>
            </w:pPr>
            <w:r>
              <w:rPr>
                <w:rFonts w:eastAsia="宋体" w:cs="Times New Roman" w:hint="eastAsia"/>
                <w:color w:val="000000"/>
                <w:kern w:val="0"/>
                <w:sz w:val="16"/>
                <w:szCs w:val="16"/>
              </w:rPr>
              <w:t>5,200.00</w:t>
            </w:r>
          </w:p>
        </w:tc>
      </w:tr>
      <w:tr>
        <w:trPr>
          <w:cantSplit/>
          <w:trHeight w:hRule="exact" w:val="380"/>
        </w:trPr>
        <w:tc>
          <w:tcPr>
            <w:tcW w:w="1119" w:type="dxa"/>
            <w:tcBorders>
              <w:top w:val="nil"/>
              <w:left w:val="single" w:sz="4" w:space="0" w:color="auto"/>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宋体"/>
                <w:b/>
                <w:bCs/>
                <w:color w:val="000000"/>
                <w:kern w:val="0"/>
                <w:sz w:val="20"/>
                <w:szCs w:val="20"/>
              </w:rPr>
            </w:pPr>
            <w:r>
              <w:rPr>
                <w:rFonts w:eastAsia="宋体" w:cs="宋体" w:hint="eastAsia"/>
                <w:b/>
                <w:bCs/>
                <w:color w:val="000000"/>
                <w:kern w:val="0"/>
                <w:sz w:val="20"/>
                <w:szCs w:val="20"/>
              </w:rPr>
              <w:t>20109</w:t>
            </w:r>
          </w:p>
        </w:tc>
        <w:tc>
          <w:tcPr>
            <w:tcW w:w="2377" w:type="dxa"/>
            <w:tcBorders>
              <w:top w:val="nil"/>
              <w:left w:val="nil"/>
              <w:bottom w:val="single" w:sz="4" w:space="0" w:color="auto"/>
              <w:right w:val="single" w:sz="4" w:space="0" w:color="auto"/>
            </w:tcBorders>
            <w:shd w:val="clear" w:color="auto" w:fill="auto"/>
          </w:tcPr>
          <w:p>
            <w:pPr>
              <w:widowControl/>
              <w:overflowPunct/>
              <w:spacing w:line="240" w:lineRule="auto"/>
              <w:ind w:firstLineChars="0" w:firstLine="0"/>
              <w:rPr>
                <w:rFonts w:eastAsia="宋体" w:cs="宋体"/>
                <w:b/>
                <w:bCs/>
                <w:color w:val="000000"/>
                <w:kern w:val="0"/>
                <w:sz w:val="20"/>
                <w:szCs w:val="20"/>
              </w:rPr>
            </w:pPr>
            <w:r>
              <w:rPr>
                <w:rFonts w:eastAsia="宋体" w:cs="宋体" w:hint="eastAsia"/>
                <w:b/>
                <w:bCs/>
                <w:color w:val="000000"/>
                <w:kern w:val="0"/>
                <w:sz w:val="20"/>
                <w:szCs w:val="20"/>
              </w:rPr>
              <w:t>海关事务</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27,300.09</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17,008.23</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5,091.86</w:t>
            </w:r>
          </w:p>
        </w:tc>
        <w:tc>
          <w:tcPr>
            <w:tcW w:w="1134"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893"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1275" w:type="dxa"/>
            <w:tcBorders>
              <w:top w:val="nil"/>
              <w:left w:val="nil"/>
              <w:bottom w:val="single" w:sz="4" w:space="0" w:color="auto"/>
              <w:right w:val="single" w:sz="4" w:space="0" w:color="auto"/>
            </w:tcBorders>
            <w:shd w:val="clear" w:color="auto" w:fill="auto"/>
            <w:noWrap/>
          </w:tcPr>
          <w:p>
            <w:pPr>
              <w:widowControl/>
              <w:overflowPunct/>
              <w:spacing w:line="240" w:lineRule="auto"/>
              <w:jc w:val="right"/>
              <w:rPr>
                <w:rFonts w:eastAsia="宋体" w:cs="Times New Roman"/>
                <w:color w:val="000000"/>
                <w:kern w:val="0"/>
                <w:sz w:val="16"/>
                <w:szCs w:val="16"/>
              </w:rPr>
            </w:pPr>
            <w:r>
              <w:rPr>
                <w:rFonts w:eastAsia="宋体" w:cs="Times New Roman" w:hint="eastAsia"/>
                <w:color w:val="000000"/>
                <w:kern w:val="0"/>
                <w:sz w:val="16"/>
                <w:szCs w:val="16"/>
              </w:rPr>
              <w:t>5,200.00</w:t>
            </w:r>
          </w:p>
        </w:tc>
      </w:tr>
      <w:tr>
        <w:trPr>
          <w:cantSplit/>
          <w:trHeight w:hRule="exact" w:val="380"/>
        </w:trPr>
        <w:tc>
          <w:tcPr>
            <w:tcW w:w="1119" w:type="dxa"/>
            <w:tcBorders>
              <w:top w:val="nil"/>
              <w:left w:val="single" w:sz="4" w:space="0" w:color="auto"/>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2010901</w:t>
            </w:r>
          </w:p>
        </w:tc>
        <w:tc>
          <w:tcPr>
            <w:tcW w:w="2377" w:type="dxa"/>
            <w:tcBorders>
              <w:top w:val="nil"/>
              <w:left w:val="nil"/>
              <w:bottom w:val="single" w:sz="4" w:space="0" w:color="auto"/>
              <w:right w:val="single" w:sz="4" w:space="0" w:color="auto"/>
            </w:tcBorders>
            <w:shd w:val="clear" w:color="auto" w:fill="auto"/>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行政运行</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22,208.23</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17,008.23</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893"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1275" w:type="dxa"/>
            <w:tcBorders>
              <w:top w:val="nil"/>
              <w:left w:val="nil"/>
              <w:bottom w:val="single" w:sz="4" w:space="0" w:color="auto"/>
              <w:right w:val="single" w:sz="4" w:space="0" w:color="auto"/>
            </w:tcBorders>
            <w:shd w:val="clear" w:color="auto" w:fill="auto"/>
            <w:noWrap/>
          </w:tcPr>
          <w:p>
            <w:pPr>
              <w:widowControl/>
              <w:overflowPunct/>
              <w:spacing w:line="240" w:lineRule="auto"/>
              <w:jc w:val="right"/>
              <w:rPr>
                <w:rFonts w:eastAsia="宋体" w:cs="Times New Roman"/>
                <w:color w:val="000000"/>
                <w:kern w:val="0"/>
                <w:sz w:val="16"/>
                <w:szCs w:val="16"/>
              </w:rPr>
            </w:pPr>
            <w:r>
              <w:rPr>
                <w:rFonts w:eastAsia="宋体" w:cs="Times New Roman" w:hint="eastAsia"/>
                <w:color w:val="000000"/>
                <w:kern w:val="0"/>
                <w:sz w:val="16"/>
                <w:szCs w:val="16"/>
              </w:rPr>
              <w:t>5,200.00</w:t>
            </w:r>
          </w:p>
        </w:tc>
      </w:tr>
      <w:tr>
        <w:trPr>
          <w:cantSplit/>
          <w:trHeight w:hRule="exact" w:val="380"/>
        </w:trPr>
        <w:tc>
          <w:tcPr>
            <w:tcW w:w="1119" w:type="dxa"/>
            <w:tcBorders>
              <w:top w:val="nil"/>
              <w:left w:val="single" w:sz="4" w:space="0" w:color="auto"/>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2010902</w:t>
            </w:r>
          </w:p>
        </w:tc>
        <w:tc>
          <w:tcPr>
            <w:tcW w:w="2377" w:type="dxa"/>
            <w:tcBorders>
              <w:top w:val="nil"/>
              <w:left w:val="nil"/>
              <w:bottom w:val="single" w:sz="4" w:space="0" w:color="auto"/>
              <w:right w:val="single" w:sz="4" w:space="0" w:color="auto"/>
            </w:tcBorders>
            <w:shd w:val="clear" w:color="auto" w:fill="auto"/>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一般行政管理事务</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4.00</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4.00</w:t>
            </w:r>
          </w:p>
        </w:tc>
        <w:tc>
          <w:tcPr>
            <w:tcW w:w="1134"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893"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1275"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r>
      <w:tr>
        <w:trPr>
          <w:cantSplit/>
          <w:trHeight w:hRule="exact" w:val="380"/>
        </w:trPr>
        <w:tc>
          <w:tcPr>
            <w:tcW w:w="1119" w:type="dxa"/>
            <w:tcBorders>
              <w:top w:val="nil"/>
              <w:left w:val="single" w:sz="4" w:space="0" w:color="auto"/>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2010903</w:t>
            </w:r>
          </w:p>
        </w:tc>
        <w:tc>
          <w:tcPr>
            <w:tcW w:w="2377" w:type="dxa"/>
            <w:tcBorders>
              <w:top w:val="nil"/>
              <w:left w:val="nil"/>
              <w:bottom w:val="single" w:sz="4" w:space="0" w:color="auto"/>
              <w:right w:val="single" w:sz="4" w:space="0" w:color="auto"/>
            </w:tcBorders>
            <w:shd w:val="clear" w:color="auto" w:fill="auto"/>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机关服务</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893"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1275"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r>
      <w:tr>
        <w:trPr>
          <w:cantSplit/>
          <w:trHeight w:hRule="exact" w:val="380"/>
        </w:trPr>
        <w:tc>
          <w:tcPr>
            <w:tcW w:w="1119" w:type="dxa"/>
            <w:tcBorders>
              <w:top w:val="nil"/>
              <w:left w:val="single" w:sz="4" w:space="0" w:color="auto"/>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2010905</w:t>
            </w:r>
          </w:p>
        </w:tc>
        <w:tc>
          <w:tcPr>
            <w:tcW w:w="2377" w:type="dxa"/>
            <w:tcBorders>
              <w:top w:val="nil"/>
              <w:left w:val="nil"/>
              <w:bottom w:val="single" w:sz="4" w:space="0" w:color="auto"/>
              <w:right w:val="single" w:sz="4" w:space="0" w:color="auto"/>
            </w:tcBorders>
            <w:shd w:val="clear" w:color="auto" w:fill="auto"/>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缉私办案</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515.05</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515.05</w:t>
            </w:r>
          </w:p>
        </w:tc>
        <w:tc>
          <w:tcPr>
            <w:tcW w:w="1134"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893"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1275"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r>
      <w:tr>
        <w:trPr>
          <w:cantSplit/>
          <w:trHeight w:hRule="exact" w:val="380"/>
        </w:trPr>
        <w:tc>
          <w:tcPr>
            <w:tcW w:w="1119" w:type="dxa"/>
            <w:tcBorders>
              <w:top w:val="nil"/>
              <w:left w:val="single" w:sz="4" w:space="0" w:color="auto"/>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2010907</w:t>
            </w:r>
          </w:p>
        </w:tc>
        <w:tc>
          <w:tcPr>
            <w:tcW w:w="2377" w:type="dxa"/>
            <w:tcBorders>
              <w:top w:val="nil"/>
              <w:left w:val="nil"/>
              <w:bottom w:val="single" w:sz="4" w:space="0" w:color="auto"/>
              <w:right w:val="single" w:sz="4" w:space="0" w:color="auto"/>
            </w:tcBorders>
            <w:shd w:val="clear" w:color="auto" w:fill="auto"/>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口岸管理</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65.72</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65.72</w:t>
            </w:r>
          </w:p>
        </w:tc>
        <w:tc>
          <w:tcPr>
            <w:tcW w:w="1134"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893"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1275"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r>
      <w:tr>
        <w:trPr>
          <w:cantSplit/>
          <w:trHeight w:hRule="exact" w:val="380"/>
        </w:trPr>
        <w:tc>
          <w:tcPr>
            <w:tcW w:w="1119" w:type="dxa"/>
            <w:tcBorders>
              <w:top w:val="nil"/>
              <w:left w:val="single" w:sz="4" w:space="0" w:color="auto"/>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2010908</w:t>
            </w:r>
          </w:p>
        </w:tc>
        <w:tc>
          <w:tcPr>
            <w:tcW w:w="2377" w:type="dxa"/>
            <w:tcBorders>
              <w:top w:val="nil"/>
              <w:left w:val="nil"/>
              <w:bottom w:val="single" w:sz="4" w:space="0" w:color="auto"/>
              <w:right w:val="single" w:sz="4" w:space="0" w:color="auto"/>
            </w:tcBorders>
            <w:shd w:val="clear" w:color="auto" w:fill="auto"/>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信息化建设</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872.00</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872.00</w:t>
            </w:r>
          </w:p>
        </w:tc>
        <w:tc>
          <w:tcPr>
            <w:tcW w:w="1134"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893"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1275"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r>
      <w:tr>
        <w:trPr>
          <w:cantSplit/>
          <w:trHeight w:hRule="exact" w:val="380"/>
        </w:trPr>
        <w:tc>
          <w:tcPr>
            <w:tcW w:w="1119" w:type="dxa"/>
            <w:tcBorders>
              <w:top w:val="nil"/>
              <w:left w:val="single" w:sz="4" w:space="0" w:color="auto"/>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2010909</w:t>
            </w:r>
          </w:p>
        </w:tc>
        <w:tc>
          <w:tcPr>
            <w:tcW w:w="2377" w:type="dxa"/>
            <w:tcBorders>
              <w:top w:val="nil"/>
              <w:left w:val="nil"/>
              <w:bottom w:val="single" w:sz="4" w:space="0" w:color="auto"/>
              <w:right w:val="single" w:sz="4" w:space="0" w:color="auto"/>
            </w:tcBorders>
            <w:shd w:val="clear" w:color="auto" w:fill="auto"/>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海关关务</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2,260.64</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2,260.64</w:t>
            </w:r>
          </w:p>
        </w:tc>
        <w:tc>
          <w:tcPr>
            <w:tcW w:w="1134"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893"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1275"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r>
      <w:tr>
        <w:trPr>
          <w:cantSplit/>
          <w:trHeight w:hRule="exact" w:val="380"/>
        </w:trPr>
        <w:tc>
          <w:tcPr>
            <w:tcW w:w="1119" w:type="dxa"/>
            <w:tcBorders>
              <w:top w:val="nil"/>
              <w:left w:val="single" w:sz="4" w:space="0" w:color="auto"/>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2010910</w:t>
            </w:r>
          </w:p>
        </w:tc>
        <w:tc>
          <w:tcPr>
            <w:tcW w:w="2377" w:type="dxa"/>
            <w:tcBorders>
              <w:top w:val="nil"/>
              <w:left w:val="nil"/>
              <w:bottom w:val="single" w:sz="4" w:space="0" w:color="auto"/>
              <w:right w:val="single" w:sz="4" w:space="0" w:color="auto"/>
            </w:tcBorders>
            <w:shd w:val="clear" w:color="auto" w:fill="auto"/>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关税征管</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24.55</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24.55</w:t>
            </w:r>
          </w:p>
        </w:tc>
        <w:tc>
          <w:tcPr>
            <w:tcW w:w="1134"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893"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1275"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r>
      <w:tr>
        <w:trPr>
          <w:cantSplit/>
          <w:trHeight w:hRule="exact" w:val="380"/>
        </w:trPr>
        <w:tc>
          <w:tcPr>
            <w:tcW w:w="1119" w:type="dxa"/>
            <w:tcBorders>
              <w:top w:val="nil"/>
              <w:left w:val="single" w:sz="4" w:space="0" w:color="auto"/>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2010911</w:t>
            </w:r>
          </w:p>
        </w:tc>
        <w:tc>
          <w:tcPr>
            <w:tcW w:w="2377" w:type="dxa"/>
            <w:tcBorders>
              <w:top w:val="nil"/>
              <w:left w:val="nil"/>
              <w:bottom w:val="single" w:sz="4" w:space="0" w:color="auto"/>
              <w:right w:val="single" w:sz="4" w:space="0" w:color="auto"/>
            </w:tcBorders>
            <w:shd w:val="clear" w:color="auto" w:fill="auto"/>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海关监管</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236.95</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236.95</w:t>
            </w:r>
          </w:p>
        </w:tc>
        <w:tc>
          <w:tcPr>
            <w:tcW w:w="1134"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893"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1275"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r>
      <w:tr>
        <w:trPr>
          <w:cantSplit/>
          <w:trHeight w:hRule="exact" w:val="380"/>
        </w:trPr>
        <w:tc>
          <w:tcPr>
            <w:tcW w:w="1119" w:type="dxa"/>
            <w:tcBorders>
              <w:top w:val="nil"/>
              <w:left w:val="single" w:sz="4" w:space="0" w:color="auto"/>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2010912</w:t>
            </w:r>
          </w:p>
        </w:tc>
        <w:tc>
          <w:tcPr>
            <w:tcW w:w="2377" w:type="dxa"/>
            <w:tcBorders>
              <w:top w:val="nil"/>
              <w:left w:val="nil"/>
              <w:bottom w:val="single" w:sz="4" w:space="0" w:color="auto"/>
              <w:right w:val="single" w:sz="4" w:space="0" w:color="auto"/>
            </w:tcBorders>
            <w:shd w:val="clear" w:color="auto" w:fill="auto"/>
          </w:tcPr>
          <w:p>
            <w:pPr>
              <w:widowControl/>
              <w:overflowPunct/>
              <w:spacing w:line="240" w:lineRule="auto"/>
              <w:ind w:firstLineChars="0" w:firstLine="0"/>
              <w:rPr>
                <w:rFonts w:eastAsia="宋体" w:cs="宋体"/>
                <w:color w:val="000000"/>
                <w:kern w:val="0"/>
                <w:sz w:val="20"/>
                <w:szCs w:val="20"/>
              </w:rPr>
            </w:pPr>
            <w:r>
              <w:rPr>
                <w:rFonts w:eastAsia="宋体" w:cs="宋体" w:hint="eastAsia"/>
                <w:color w:val="000000"/>
                <w:kern w:val="0"/>
                <w:sz w:val="20"/>
                <w:szCs w:val="20"/>
              </w:rPr>
              <w:t>检验检疫</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1,112.95</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1,112.95</w:t>
            </w:r>
          </w:p>
        </w:tc>
        <w:tc>
          <w:tcPr>
            <w:tcW w:w="1134"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893"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c>
          <w:tcPr>
            <w:tcW w:w="1275" w:type="dxa"/>
            <w:tcBorders>
              <w:top w:val="nil"/>
              <w:left w:val="nil"/>
              <w:bottom w:val="single" w:sz="4" w:space="0" w:color="auto"/>
              <w:right w:val="single" w:sz="4" w:space="0" w:color="auto"/>
            </w:tcBorders>
            <w:shd w:val="clear" w:color="auto" w:fill="auto"/>
            <w:noWrap/>
          </w:tcPr>
          <w:p>
            <w:pPr>
              <w:rPr>
                <w:rFonts w:eastAsia="宋体" w:cs="Times New Roman"/>
                <w:color w:val="000000"/>
                <w:kern w:val="0"/>
                <w:sz w:val="16"/>
                <w:szCs w:val="16"/>
              </w:rPr>
            </w:pPr>
            <w:r>
              <w:rPr>
                <w:rFonts w:eastAsia="宋体" w:cs="Times New Roman" w:hint="eastAsia"/>
                <w:color w:val="000000"/>
                <w:kern w:val="0"/>
                <w:sz w:val="16"/>
                <w:szCs w:val="16"/>
              </w:rPr>
              <w:t>　</w:t>
            </w:r>
          </w:p>
        </w:tc>
      </w:tr>
      <w:tr>
        <w:trPr>
          <w:cantSplit/>
          <w:trHeight w:val="363"/>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2010950</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事业运行</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　</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2010999</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其他海关事务支出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20111</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纪检监察事务</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2011105</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派驻派出机构</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202</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外交支出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20203</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对外援助</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2020306</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对外援助</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20204</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国际组织</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2020401</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国际组织会费</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2020402</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国际组织捐赠</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20205</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对外合作与交流</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r>
      <w:tr>
        <w:trPr>
          <w:cantSplit/>
          <w:trHeight w:val="5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2020599</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其他对外合作与交流支出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20299</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其他外交支出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2029999</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其他外交支出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204</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公共安全支出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r>
              <w:rPr>
                <w:rFonts w:cs="Calibri"/>
                <w:sz w:val="16"/>
                <w:szCs w:val="16"/>
              </w:rPr>
              <w:t>3873.44</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r>
              <w:rPr>
                <w:rFonts w:cs="Calibri"/>
                <w:sz w:val="16"/>
                <w:szCs w:val="16"/>
              </w:rPr>
              <w:t>2701.48</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bCs/>
                <w:color w:val="000000"/>
                <w:kern w:val="0"/>
                <w:sz w:val="20"/>
                <w:szCs w:val="20"/>
              </w:rPr>
            </w:pPr>
            <w:r>
              <w:rPr>
                <w:rFonts w:cs="Calibri"/>
                <w:sz w:val="16"/>
                <w:szCs w:val="16"/>
              </w:rPr>
              <w:t>1171.96</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r>
      <w:tr>
        <w:trPr>
          <w:cantSplit/>
          <w:trHeight w:hRule="exact" w:val="567"/>
        </w:trPr>
        <w:tc>
          <w:tcPr>
            <w:tcW w:w="1119"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color w:val="000000"/>
                <w:kern w:val="0"/>
                <w:sz w:val="20"/>
                <w:szCs w:val="20"/>
              </w:rPr>
              <w:t xml:space="preserve"> 科目代码 </w:t>
            </w:r>
          </w:p>
        </w:tc>
        <w:tc>
          <w:tcPr>
            <w:tcW w:w="2377"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color w:val="000000"/>
                <w:kern w:val="0"/>
                <w:sz w:val="20"/>
                <w:szCs w:val="20"/>
              </w:rPr>
              <w:t xml:space="preserve"> 科目名称 </w:t>
            </w:r>
          </w:p>
        </w:tc>
        <w:tc>
          <w:tcPr>
            <w:tcW w:w="1276"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16"/>
                <w:szCs w:val="16"/>
              </w:rPr>
            </w:pPr>
            <w:r>
              <w:rPr>
                <w:rFonts w:eastAsia="宋体" w:cs="宋体" w:hint="eastAsia"/>
                <w:color w:val="000000"/>
                <w:kern w:val="0"/>
                <w:sz w:val="20"/>
                <w:szCs w:val="20"/>
              </w:rPr>
              <w:t xml:space="preserve"> 合计 </w:t>
            </w:r>
          </w:p>
        </w:tc>
        <w:tc>
          <w:tcPr>
            <w:tcW w:w="1276"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16"/>
                <w:szCs w:val="16"/>
              </w:rPr>
            </w:pPr>
            <w:r>
              <w:rPr>
                <w:rFonts w:eastAsia="宋体" w:cs="宋体" w:hint="eastAsia"/>
                <w:color w:val="000000"/>
                <w:kern w:val="0"/>
                <w:sz w:val="20"/>
                <w:szCs w:val="20"/>
              </w:rPr>
              <w:t xml:space="preserve"> 基本支出 </w:t>
            </w:r>
          </w:p>
        </w:tc>
        <w:tc>
          <w:tcPr>
            <w:tcW w:w="1134"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16"/>
                <w:szCs w:val="16"/>
              </w:rPr>
            </w:pPr>
            <w:r>
              <w:rPr>
                <w:rFonts w:eastAsia="宋体" w:cs="宋体" w:hint="eastAsia"/>
                <w:color w:val="000000"/>
                <w:kern w:val="0"/>
                <w:sz w:val="20"/>
                <w:szCs w:val="20"/>
              </w:rPr>
              <w:t xml:space="preserve"> 项目支出 </w:t>
            </w:r>
          </w:p>
        </w:tc>
        <w:tc>
          <w:tcPr>
            <w:tcW w:w="1134"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r>
              <w:rPr>
                <w:rFonts w:eastAsia="宋体" w:cs="宋体" w:hint="eastAsia"/>
                <w:color w:val="000000"/>
                <w:kern w:val="0"/>
                <w:sz w:val="20"/>
                <w:szCs w:val="20"/>
              </w:rPr>
              <w:t xml:space="preserve"> 上缴上级支出 </w:t>
            </w:r>
          </w:p>
        </w:tc>
        <w:tc>
          <w:tcPr>
            <w:tcW w:w="893"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r>
              <w:rPr>
                <w:rFonts w:eastAsia="宋体" w:cs="宋体" w:hint="eastAsia"/>
                <w:color w:val="000000"/>
                <w:kern w:val="0"/>
                <w:sz w:val="20"/>
                <w:szCs w:val="20"/>
              </w:rPr>
              <w:t xml:space="preserve"> 事业单位经营支出 </w:t>
            </w:r>
          </w:p>
        </w:tc>
        <w:tc>
          <w:tcPr>
            <w:tcW w:w="1275"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r>
              <w:rPr>
                <w:rFonts w:eastAsia="宋体" w:cs="宋体" w:hint="eastAsia"/>
                <w:color w:val="000000"/>
                <w:kern w:val="0"/>
                <w:sz w:val="20"/>
                <w:szCs w:val="20"/>
              </w:rPr>
              <w:t xml:space="preserve"> 对附属单位补助支出 </w:t>
            </w: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20410</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缉私警察</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3,873.44</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2,701.48</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1,171.96</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p>
        </w:tc>
        <w:tc>
          <w:tcPr>
            <w:tcW w:w="893"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Times New Roman"/>
                <w:b/>
                <w:bCs/>
                <w:color w:val="000000"/>
                <w:kern w:val="0"/>
                <w:sz w:val="16"/>
                <w:szCs w:val="16"/>
              </w:rPr>
            </w:pPr>
          </w:p>
        </w:tc>
        <w:tc>
          <w:tcPr>
            <w:tcW w:w="1275"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Times New Roman"/>
                <w:b/>
                <w:bCs/>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2041001</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行政运行</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2,701.48</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2,701.48</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p>
        </w:tc>
        <w:tc>
          <w:tcPr>
            <w:tcW w:w="893"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Times New Roman"/>
                <w:color w:val="000000"/>
                <w:kern w:val="0"/>
                <w:sz w:val="16"/>
                <w:szCs w:val="16"/>
              </w:rPr>
            </w:pPr>
          </w:p>
        </w:tc>
        <w:tc>
          <w:tcPr>
            <w:tcW w:w="1275"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2041002</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一般行政管理事务</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158.00</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158.00</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p>
        </w:tc>
        <w:tc>
          <w:tcPr>
            <w:tcW w:w="893"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Times New Roman"/>
                <w:color w:val="000000"/>
                <w:kern w:val="0"/>
                <w:sz w:val="16"/>
                <w:szCs w:val="16"/>
              </w:rPr>
            </w:pPr>
          </w:p>
        </w:tc>
        <w:tc>
          <w:tcPr>
            <w:tcW w:w="1275"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2041006</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信息化建设</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1,013.96</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1,013.96</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p>
        </w:tc>
        <w:tc>
          <w:tcPr>
            <w:tcW w:w="893"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Times New Roman"/>
                <w:color w:val="000000"/>
                <w:kern w:val="0"/>
                <w:sz w:val="16"/>
                <w:szCs w:val="16"/>
              </w:rPr>
            </w:pPr>
          </w:p>
        </w:tc>
        <w:tc>
          <w:tcPr>
            <w:tcW w:w="1275"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2041007</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缉私业务</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3,873.44</w:t>
            </w:r>
          </w:p>
        </w:tc>
        <w:tc>
          <w:tcPr>
            <w:tcW w:w="1276"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2,701.48</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1,171.96</w:t>
            </w:r>
          </w:p>
        </w:tc>
        <w:tc>
          <w:tcPr>
            <w:tcW w:w="1134"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jc w:val="center"/>
              <w:rPr>
                <w:rFonts w:eastAsia="宋体" w:cs="Times New Roman"/>
                <w:color w:val="000000"/>
                <w:kern w:val="0"/>
                <w:sz w:val="16"/>
                <w:szCs w:val="16"/>
              </w:rPr>
            </w:pPr>
          </w:p>
        </w:tc>
        <w:tc>
          <w:tcPr>
            <w:tcW w:w="893"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Times New Roman"/>
                <w:color w:val="000000"/>
                <w:kern w:val="0"/>
                <w:sz w:val="16"/>
                <w:szCs w:val="16"/>
              </w:rPr>
            </w:pPr>
          </w:p>
        </w:tc>
        <w:tc>
          <w:tcPr>
            <w:tcW w:w="1275" w:type="dxa"/>
            <w:tcBorders>
              <w:top w:val="nil"/>
              <w:left w:val="nil"/>
              <w:bottom w:val="single" w:sz="4" w:space="0" w:color="auto"/>
              <w:right w:val="single" w:sz="4" w:space="0" w:color="auto"/>
            </w:tcBorders>
            <w:shd w:val="clear" w:color="auto" w:fill="auto"/>
            <w:noWrap/>
          </w:tcPr>
          <w:p>
            <w:pPr>
              <w:widowControl/>
              <w:overflowPunct/>
              <w:spacing w:line="240" w:lineRule="auto"/>
              <w:ind w:firstLineChars="0" w:firstLine="0"/>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2041099</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其他缉私警察支出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205</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教育支出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20502</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普通教育</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2050205</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高等教育</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208</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社会保障和就业支出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3,770.70</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3,770.70</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20805</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行政事业单位养老支出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3,770.70</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3,770.70</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2080501</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行政单位离退休</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1,668.38</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1,668.38</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2080502</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事业单位离退休</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　</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2080503</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离退休人员管理机构</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　</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2080505</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机关事业单位基本养老保险缴费支出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1,369.03</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1,369.03</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2080506</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机关事业单位职业年金缴费支出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733.29</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733.29</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20899</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其他社会保障和就业支出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2089901</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其他社会保障和就业支出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2089999</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其他社会保障和就业支出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210</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卫生健康支出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1,315.79</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1,315.79</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21011</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行政事业单位医疗</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1,315.79</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1,315.79</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2101101</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行政单位医疗</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803.24</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803.24</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2101102</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事业单位医疗</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　</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2101103</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公务员医疗补助</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480.94</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480.94</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2101199</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其他行政事业单位医疗支出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31.61</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31.61</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221</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住房保障支出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5,681.64</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5,681.64</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22102</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住房改革支出</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5,681.64</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5,681.64</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2210201</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住房公积金</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1,537.26</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1,537.26</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2210202</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提租补贴</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2210203</w:t>
            </w:r>
          </w:p>
        </w:tc>
        <w:tc>
          <w:tcPr>
            <w:tcW w:w="237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购房补贴</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4,144.38</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4,144.38</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hRule="exact" w:val="357"/>
        </w:trPr>
        <w:tc>
          <w:tcPr>
            <w:tcW w:w="3496" w:type="dxa"/>
            <w:gridSpan w:val="2"/>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b/>
                <w:color w:val="000000"/>
                <w:kern w:val="0"/>
                <w:sz w:val="20"/>
                <w:szCs w:val="20"/>
              </w:rPr>
            </w:pPr>
            <w:r>
              <w:rPr>
                <w:rFonts w:eastAsia="宋体" w:cs="宋体" w:hint="eastAsia"/>
                <w:b/>
                <w:color w:val="000000"/>
                <w:kern w:val="0"/>
                <w:sz w:val="20"/>
                <w:szCs w:val="20"/>
              </w:rPr>
              <w:t>合      计</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r>
              <w:rPr>
                <w:rFonts w:eastAsia="宋体" w:cs="Times New Roman" w:hint="eastAsia"/>
                <w:b/>
                <w:color w:val="000000"/>
                <w:kern w:val="0"/>
                <w:sz w:val="20"/>
                <w:szCs w:val="20"/>
              </w:rPr>
              <w:t>41,941.66</w:t>
            </w:r>
          </w:p>
        </w:tc>
        <w:tc>
          <w:tcPr>
            <w:tcW w:w="127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r>
              <w:rPr>
                <w:rFonts w:eastAsia="宋体" w:cs="Times New Roman" w:hint="eastAsia"/>
                <w:b/>
                <w:color w:val="000000"/>
                <w:kern w:val="0"/>
                <w:sz w:val="20"/>
                <w:szCs w:val="20"/>
              </w:rPr>
              <w:t>30,477.84</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r>
              <w:rPr>
                <w:rFonts w:eastAsia="宋体" w:cs="Times New Roman" w:hint="eastAsia"/>
                <w:b/>
                <w:color w:val="000000"/>
                <w:kern w:val="0"/>
                <w:sz w:val="20"/>
                <w:szCs w:val="20"/>
              </w:rPr>
              <w:t>6,263.82</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r>
              <w:rPr>
                <w:rFonts w:eastAsia="宋体" w:cs="Times New Roman" w:hint="eastAsia"/>
                <w:b/>
                <w:color w:val="000000"/>
                <w:kern w:val="0"/>
                <w:sz w:val="20"/>
                <w:szCs w:val="20"/>
              </w:rPr>
              <w:t>　</w:t>
            </w:r>
          </w:p>
        </w:tc>
        <w:tc>
          <w:tcPr>
            <w:tcW w:w="8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r>
              <w:rPr>
                <w:rFonts w:eastAsia="宋体" w:cs="Times New Roman" w:hint="eastAsia"/>
                <w:b/>
                <w:color w:val="000000"/>
                <w:kern w:val="0"/>
                <w:sz w:val="20"/>
                <w:szCs w:val="20"/>
              </w:rPr>
              <w:t>　</w:t>
            </w:r>
          </w:p>
        </w:tc>
        <w:tc>
          <w:tcPr>
            <w:tcW w:w="12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r>
              <w:rPr>
                <w:rFonts w:eastAsia="宋体" w:cs="Times New Roman" w:hint="eastAsia"/>
                <w:b/>
                <w:color w:val="000000"/>
                <w:kern w:val="0"/>
                <w:sz w:val="20"/>
                <w:szCs w:val="20"/>
              </w:rPr>
              <w:t>5,200.00</w:t>
            </w:r>
          </w:p>
        </w:tc>
      </w:tr>
    </w:tbl>
    <w:p>
      <w:pPr>
        <w:widowControl/>
        <w:overflowPunct/>
        <w:spacing w:line="240" w:lineRule="auto"/>
        <w:ind w:firstLineChars="0" w:firstLine="0"/>
        <w:jc w:val="left"/>
        <w:sectPr>
          <w:pgSz w:w="11906" w:h="16838"/>
          <w:pgMar w:top="1440" w:right="1797" w:bottom="1440" w:left="1797" w:header="851" w:footer="992" w:gutter="0"/>
          <w:docGrid w:type="lines" w:linePitch="435" w:charSpace="0"/>
        </w:sectPr>
      </w:pPr>
    </w:p>
    <w:p>
      <w:pPr>
        <w:pStyle w:val="22"/>
        <w:outlineLvl w:val="1"/>
      </w:pPr>
      <w:r>
        <w:rPr>
          <w:rFonts w:hint="eastAsia"/>
        </w:rPr>
        <w:t>四、财政拨款收支总表</w:t>
      </w: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253"/>
        <w:gridCol w:w="2693"/>
        <w:gridCol w:w="4253"/>
        <w:gridCol w:w="2693"/>
      </w:tblGrid>
      <w:tr>
        <w:trPr>
          <w:trHeight w:val="319"/>
        </w:trPr>
        <w:tc>
          <w:tcPr>
            <w:tcW w:w="11199" w:type="dxa"/>
            <w:gridSpan w:val="3"/>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宋体" w:cs="宋体"/>
                <w:kern w:val="0"/>
                <w:sz w:val="24"/>
                <w:szCs w:val="24"/>
              </w:rPr>
            </w:pPr>
          </w:p>
        </w:tc>
        <w:tc>
          <w:tcPr>
            <w:tcW w:w="2693"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黑体" w:cs="宋体"/>
                <w:color w:val="000000"/>
                <w:kern w:val="0"/>
                <w:sz w:val="20"/>
                <w:szCs w:val="20"/>
              </w:rPr>
            </w:pPr>
            <w:r>
              <w:rPr>
                <w:rFonts w:eastAsia="黑体" w:cs="宋体" w:hint="eastAsia"/>
                <w:color w:val="000000"/>
                <w:kern w:val="0"/>
                <w:sz w:val="20"/>
                <w:szCs w:val="20"/>
              </w:rPr>
              <w:t>部门公开表4</w:t>
            </w:r>
          </w:p>
        </w:tc>
      </w:tr>
      <w:tr>
        <w:trPr>
          <w:trHeight w:val="540"/>
        </w:trPr>
        <w:tc>
          <w:tcPr>
            <w:tcW w:w="13892" w:type="dxa"/>
            <w:gridSpan w:val="4"/>
            <w:tcBorders>
              <w:top w:val="nil"/>
              <w:left w:val="nil"/>
              <w:bottom w:val="nil"/>
              <w:right w:val="nil"/>
            </w:tcBorders>
            <w:shd w:val="clear" w:color="auto" w:fill="auto"/>
            <w:noWrap/>
            <w:vAlign w:val="center"/>
          </w:tcPr>
          <w:p>
            <w:pPr>
              <w:widowControl/>
              <w:overflowPunct/>
              <w:spacing w:line="240" w:lineRule="auto"/>
              <w:ind w:firstLineChars="0" w:firstLine="0"/>
              <w:jc w:val="center"/>
              <w:rPr>
                <w:rFonts w:eastAsia="宋体" w:cs="宋体"/>
                <w:color w:val="000000"/>
                <w:kern w:val="0"/>
                <w:sz w:val="36"/>
                <w:szCs w:val="36"/>
              </w:rPr>
            </w:pPr>
            <w:r>
              <w:rPr>
                <w:rFonts w:eastAsia="宋体" w:cs="宋体" w:hint="eastAsia"/>
                <w:color w:val="000000"/>
                <w:kern w:val="0"/>
                <w:sz w:val="36"/>
                <w:szCs w:val="36"/>
              </w:rPr>
              <w:t>财政拨款收支总表</w:t>
            </w:r>
          </w:p>
        </w:tc>
      </w:tr>
      <w:tr>
        <w:trPr>
          <w:trHeight w:val="360"/>
        </w:trPr>
        <w:tc>
          <w:tcPr>
            <w:tcW w:w="4253"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18"/>
                <w:szCs w:val="18"/>
              </w:rPr>
            </w:pPr>
            <w:r>
              <w:rPr>
                <w:rFonts w:eastAsia="宋体" w:cs="宋体" w:hint="eastAsia"/>
                <w:color w:val="000000"/>
                <w:kern w:val="0"/>
                <w:sz w:val="18"/>
                <w:szCs w:val="18"/>
              </w:rPr>
              <w:t>　</w:t>
            </w:r>
          </w:p>
        </w:tc>
        <w:tc>
          <w:tcPr>
            <w:tcW w:w="2693"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4253"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2693"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宋体" w:cs="宋体"/>
                <w:color w:val="000000"/>
                <w:kern w:val="0"/>
                <w:sz w:val="18"/>
                <w:szCs w:val="18"/>
              </w:rPr>
            </w:pPr>
            <w:r>
              <w:rPr>
                <w:rFonts w:eastAsia="宋体" w:cs="宋体" w:hint="eastAsia"/>
                <w:color w:val="000000"/>
                <w:kern w:val="0"/>
                <w:sz w:val="18"/>
                <w:szCs w:val="18"/>
              </w:rPr>
              <w:t>单位：万元</w:t>
            </w:r>
          </w:p>
        </w:tc>
      </w:tr>
      <w:tr>
        <w:trPr>
          <w:trHeight w:val="360"/>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收      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支      出</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预算数</w:t>
            </w:r>
          </w:p>
        </w:tc>
        <w:tc>
          <w:tcPr>
            <w:tcW w:w="4253"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预算数</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一、本年收入</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r>
              <w:rPr>
                <w:rFonts w:cs="Calibri"/>
                <w:sz w:val="20"/>
                <w:szCs w:val="20"/>
              </w:rPr>
              <w:t>23</w:t>
            </w:r>
            <w:r>
              <w:rPr>
                <w:rFonts w:cs="Calibri" w:hint="eastAsia"/>
                <w:sz w:val="20"/>
                <w:szCs w:val="20"/>
              </w:rPr>
              <w:t>,</w:t>
            </w:r>
            <w:r>
              <w:rPr>
                <w:rFonts w:cs="Calibri"/>
                <w:sz w:val="20"/>
                <w:szCs w:val="20"/>
              </w:rPr>
              <w:t>480.29</w:t>
            </w: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一、本年支出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r>
              <w:rPr>
                <w:rFonts w:cs="Calibri"/>
                <w:sz w:val="20"/>
                <w:szCs w:val="20"/>
              </w:rPr>
              <w:t>24</w:t>
            </w:r>
            <w:r>
              <w:rPr>
                <w:rFonts w:cs="Calibri" w:hint="eastAsia"/>
                <w:sz w:val="20"/>
                <w:szCs w:val="20"/>
              </w:rPr>
              <w:t>,</w:t>
            </w:r>
            <w:r>
              <w:rPr>
                <w:rFonts w:cs="Calibri"/>
                <w:sz w:val="20"/>
                <w:szCs w:val="20"/>
              </w:rPr>
              <w:t>320.66</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r>
              <w:rPr>
                <w:rFonts w:cs="Calibri"/>
                <w:sz w:val="20"/>
                <w:szCs w:val="20"/>
              </w:rPr>
              <w:t>23</w:t>
            </w:r>
            <w:r>
              <w:rPr>
                <w:rFonts w:cs="Calibri" w:hint="eastAsia"/>
                <w:sz w:val="20"/>
                <w:szCs w:val="20"/>
              </w:rPr>
              <w:t>,</w:t>
            </w:r>
            <w:r>
              <w:rPr>
                <w:rFonts w:cs="Calibri"/>
                <w:sz w:val="20"/>
                <w:szCs w:val="20"/>
              </w:rPr>
              <w:t>480.29</w:t>
            </w: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（一）一般公共服务支出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r>
              <w:rPr>
                <w:rFonts w:cs="Calibri"/>
                <w:sz w:val="20"/>
                <w:szCs w:val="20"/>
              </w:rPr>
              <w:t>14</w:t>
            </w:r>
            <w:r>
              <w:rPr>
                <w:rFonts w:cs="Calibri" w:hint="eastAsia"/>
                <w:sz w:val="20"/>
                <w:szCs w:val="20"/>
              </w:rPr>
              <w:t>,</w:t>
            </w:r>
            <w:r>
              <w:rPr>
                <w:rFonts w:cs="Calibri"/>
                <w:sz w:val="20"/>
                <w:szCs w:val="20"/>
              </w:rPr>
              <w:t>761.64</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（二）外交支出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（三）公共安全支出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r>
              <w:rPr>
                <w:rFonts w:cs="Calibri"/>
                <w:sz w:val="20"/>
                <w:szCs w:val="20"/>
              </w:rPr>
              <w:t>3</w:t>
            </w:r>
            <w:r>
              <w:rPr>
                <w:rFonts w:cs="Calibri" w:hint="eastAsia"/>
                <w:sz w:val="20"/>
                <w:szCs w:val="20"/>
              </w:rPr>
              <w:t>,</w:t>
            </w:r>
            <w:r>
              <w:rPr>
                <w:rFonts w:cs="Calibri"/>
                <w:sz w:val="20"/>
                <w:szCs w:val="20"/>
              </w:rPr>
              <w:t>000.27</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（四）教育支出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二、上年结转</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r>
              <w:rPr>
                <w:rFonts w:cs="Calibri"/>
                <w:sz w:val="20"/>
                <w:szCs w:val="20"/>
              </w:rPr>
              <w:t>840.37</w:t>
            </w: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（五）社会保障和就业支出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hint="eastAsia"/>
                <w:sz w:val="20"/>
                <w:szCs w:val="20"/>
              </w:rPr>
              <w:t>2,020.70</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r>
              <w:rPr>
                <w:rFonts w:cs="Calibri"/>
                <w:sz w:val="20"/>
                <w:szCs w:val="20"/>
              </w:rPr>
              <w:t>840.37</w:t>
            </w: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（六）卫生健康支出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hint="eastAsia"/>
                <w:sz w:val="20"/>
                <w:szCs w:val="20"/>
              </w:rPr>
              <w:t>1,215.79</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（七）住房保障支出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hint="eastAsia"/>
                <w:sz w:val="20"/>
                <w:szCs w:val="20"/>
              </w:rPr>
              <w:t>3,322.26</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4"/>
                <w:szCs w:val="24"/>
              </w:rPr>
            </w:pPr>
          </w:p>
        </w:tc>
        <w:tc>
          <w:tcPr>
            <w:tcW w:w="2693"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宋体"/>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p>
        </w:tc>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宋体"/>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收    入    总    计</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r>
              <w:rPr>
                <w:rFonts w:eastAsia="宋体" w:cs="Times New Roman"/>
                <w:color w:val="000000"/>
                <w:kern w:val="0"/>
                <w:sz w:val="24"/>
                <w:szCs w:val="24"/>
              </w:rPr>
              <w:t>24</w:t>
            </w:r>
            <w:r>
              <w:rPr>
                <w:rFonts w:eastAsia="宋体" w:cs="Times New Roman" w:hint="eastAsia"/>
                <w:color w:val="000000"/>
                <w:kern w:val="0"/>
                <w:sz w:val="24"/>
                <w:szCs w:val="24"/>
              </w:rPr>
              <w:t>,</w:t>
            </w:r>
            <w:r>
              <w:rPr>
                <w:rFonts w:eastAsia="宋体" w:cs="Times New Roman"/>
                <w:color w:val="000000"/>
                <w:kern w:val="0"/>
                <w:sz w:val="24"/>
                <w:szCs w:val="24"/>
              </w:rPr>
              <w:t>320.66</w:t>
            </w:r>
          </w:p>
        </w:tc>
        <w:tc>
          <w:tcPr>
            <w:tcW w:w="4253"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支    出    总    计</w:t>
            </w:r>
          </w:p>
        </w:tc>
        <w:tc>
          <w:tcPr>
            <w:tcW w:w="2693"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r>
              <w:rPr>
                <w:rFonts w:eastAsia="宋体" w:cs="Times New Roman"/>
                <w:color w:val="000000"/>
                <w:kern w:val="0"/>
                <w:sz w:val="24"/>
                <w:szCs w:val="24"/>
              </w:rPr>
              <w:t>24</w:t>
            </w:r>
            <w:r>
              <w:rPr>
                <w:rFonts w:eastAsia="宋体" w:cs="Times New Roman" w:hint="eastAsia"/>
                <w:color w:val="000000"/>
                <w:kern w:val="0"/>
                <w:sz w:val="24"/>
                <w:szCs w:val="24"/>
              </w:rPr>
              <w:t>,</w:t>
            </w:r>
            <w:r>
              <w:rPr>
                <w:rFonts w:eastAsia="宋体" w:cs="Times New Roman"/>
                <w:color w:val="000000"/>
                <w:kern w:val="0"/>
                <w:sz w:val="24"/>
                <w:szCs w:val="24"/>
              </w:rPr>
              <w:t>320.66</w:t>
            </w:r>
          </w:p>
        </w:tc>
      </w:tr>
    </w:tbl>
    <w:p>
      <w:pPr>
        <w:widowControl/>
        <w:overflowPunct/>
        <w:spacing w:line="240" w:lineRule="auto"/>
        <w:ind w:firstLineChars="0" w:firstLine="0"/>
        <w:jc w:val="left"/>
      </w:pPr>
      <w:r>
        <w:br w:type="page"/>
      </w:r>
    </w:p>
    <w:p>
      <w:pPr>
        <w:pStyle w:val="22"/>
        <w:outlineLvl w:val="1"/>
      </w:pPr>
      <w:r>
        <w:rPr>
          <w:rFonts w:hint="eastAsia"/>
        </w:rPr>
        <w:t>五、一般公共预算支出表</w:t>
      </w:r>
    </w:p>
    <w:tbl>
      <w:tblPr>
        <w:tblpPr w:leftFromText="181" w:rightFromText="181" w:horzAnchor="margin" w:tblpXSpec="center" w:tblpYSpec="center"/>
        <w:tblW w:w="15508"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64"/>
        <w:gridCol w:w="1877"/>
        <w:gridCol w:w="1056"/>
        <w:gridCol w:w="1636"/>
        <w:gridCol w:w="1390"/>
        <w:gridCol w:w="1310"/>
        <w:gridCol w:w="1150"/>
        <w:gridCol w:w="1632"/>
        <w:gridCol w:w="1284"/>
        <w:gridCol w:w="964"/>
        <w:gridCol w:w="1216"/>
        <w:gridCol w:w="1029"/>
      </w:tblGrid>
      <w:tr>
        <w:trPr>
          <w:cantSplit/>
          <w:trHeight w:val="285"/>
        </w:trPr>
        <w:tc>
          <w:tcPr>
            <w:tcW w:w="15508" w:type="dxa"/>
            <w:gridSpan w:val="12"/>
            <w:tcBorders>
              <w:top w:val="nil"/>
              <w:left w:val="nil"/>
              <w:bottom w:val="nil"/>
              <w:right w:val="nil"/>
            </w:tcBorders>
            <w:shd w:val="clear" w:color="auto" w:fill="auto"/>
            <w:vAlign w:val="center"/>
          </w:tcPr>
          <w:p>
            <w:pPr>
              <w:keepLines/>
              <w:widowControl w:val="0"/>
              <w:overflowPunct/>
              <w:spacing w:line="240" w:lineRule="auto"/>
              <w:ind w:firstLineChars="0" w:firstLine="0"/>
              <w:jc w:val="right"/>
              <w:rPr>
                <w:rFonts w:eastAsia="宋体" w:cs="宋体"/>
                <w:kern w:val="0"/>
                <w:sz w:val="36"/>
                <w:szCs w:val="36"/>
              </w:rPr>
            </w:pPr>
            <w:r>
              <w:rPr>
                <w:rFonts w:ascii="黑体" w:eastAsia="黑体" w:cs="黑体" w:hint="eastAsia"/>
                <w:kern w:val="0"/>
                <w:sz w:val="20"/>
                <w:szCs w:val="20"/>
              </w:rPr>
              <w:t>部门公开表5</w:t>
            </w:r>
          </w:p>
        </w:tc>
      </w:tr>
      <w:tr>
        <w:trPr>
          <w:cantSplit/>
          <w:trHeight w:val="285"/>
        </w:trPr>
        <w:tc>
          <w:tcPr>
            <w:tcW w:w="15508" w:type="dxa"/>
            <w:gridSpan w:val="12"/>
            <w:tcBorders>
              <w:top w:val="nil"/>
              <w:left w:val="nil"/>
              <w:bottom w:val="nil"/>
              <w:right w:val="nil"/>
            </w:tcBorders>
            <w:shd w:val="clear" w:color="auto" w:fill="auto"/>
            <w:vAlign w:val="center"/>
          </w:tcPr>
          <w:p>
            <w:pPr>
              <w:keepLines/>
              <w:widowControl w:val="0"/>
              <w:overflowPunct/>
              <w:spacing w:line="240" w:lineRule="auto"/>
              <w:ind w:firstLineChars="0" w:firstLine="0"/>
              <w:jc w:val="center"/>
              <w:rPr>
                <w:rFonts w:eastAsia="宋体" w:cs="宋体"/>
                <w:kern w:val="0"/>
                <w:sz w:val="36"/>
                <w:szCs w:val="36"/>
              </w:rPr>
            </w:pPr>
            <w:r>
              <w:rPr>
                <w:rFonts w:eastAsia="宋体" w:cs="宋体" w:hint="eastAsia"/>
                <w:kern w:val="0"/>
                <w:sz w:val="36"/>
                <w:szCs w:val="36"/>
              </w:rPr>
              <w:t>一般公共预算支出表</w:t>
            </w:r>
          </w:p>
        </w:tc>
      </w:tr>
      <w:tr>
        <w:trPr>
          <w:cantSplit/>
          <w:trHeight w:val="255"/>
        </w:trPr>
        <w:tc>
          <w:tcPr>
            <w:tcW w:w="964" w:type="dxa"/>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1877" w:type="dxa"/>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1056" w:type="dxa"/>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1636" w:type="dxa"/>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1390" w:type="dxa"/>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1310" w:type="dxa"/>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1150" w:type="dxa"/>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1632" w:type="dxa"/>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1284" w:type="dxa"/>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964" w:type="dxa"/>
            <w:tcBorders>
              <w:top w:val="nil"/>
              <w:left w:val="nil"/>
              <w:bottom w:val="nil"/>
              <w:right w:val="nil"/>
            </w:tcBorders>
            <w:shd w:val="clear" w:color="auto" w:fill="auto"/>
            <w:noWrap/>
            <w:vAlign w:val="center"/>
          </w:tcPr>
          <w:p>
            <w:pPr>
              <w:keepLines/>
              <w:widowControl w:val="0"/>
              <w:overflowPunct/>
              <w:spacing w:line="240" w:lineRule="auto"/>
              <w:ind w:firstLineChars="0" w:firstLine="0"/>
              <w:jc w:val="left"/>
              <w:rPr>
                <w:rFonts w:eastAsia="宋体" w:cs="宋体"/>
                <w:kern w:val="0"/>
                <w:sz w:val="16"/>
                <w:szCs w:val="16"/>
              </w:rPr>
            </w:pPr>
          </w:p>
        </w:tc>
        <w:tc>
          <w:tcPr>
            <w:tcW w:w="1216" w:type="dxa"/>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1029" w:type="dxa"/>
            <w:tcBorders>
              <w:top w:val="nil"/>
              <w:left w:val="nil"/>
              <w:bottom w:val="nil"/>
              <w:right w:val="nil"/>
            </w:tcBorders>
            <w:shd w:val="clear" w:color="auto" w:fill="auto"/>
            <w:noWrap/>
            <w:vAlign w:val="center"/>
          </w:tcPr>
          <w:p>
            <w:pPr>
              <w:keepLines/>
              <w:widowControl w:val="0"/>
              <w:overflowPunct/>
              <w:spacing w:line="240" w:lineRule="auto"/>
              <w:ind w:firstLineChars="0" w:firstLine="0"/>
              <w:jc w:val="right"/>
              <w:rPr>
                <w:rFonts w:eastAsia="宋体" w:cs="宋体"/>
                <w:kern w:val="0"/>
                <w:sz w:val="16"/>
                <w:szCs w:val="16"/>
              </w:rPr>
            </w:pPr>
            <w:r>
              <w:rPr>
                <w:rFonts w:eastAsia="宋体" w:cs="宋体" w:hint="eastAsia"/>
                <w:kern w:val="0"/>
                <w:sz w:val="16"/>
                <w:szCs w:val="16"/>
              </w:rPr>
              <w:t>单位：万元</w:t>
            </w:r>
          </w:p>
        </w:tc>
      </w:tr>
      <w:tr>
        <w:trPr>
          <w:cantSplit/>
          <w:trHeight w:val="255"/>
        </w:trPr>
        <w:tc>
          <w:tcPr>
            <w:tcW w:w="284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功能分类科目</w:t>
            </w:r>
          </w:p>
        </w:tc>
        <w:tc>
          <w:tcPr>
            <w:tcW w:w="2692" w:type="dxa"/>
            <w:gridSpan w:val="2"/>
            <w:tcBorders>
              <w:top w:val="single" w:sz="4" w:space="0" w:color="auto"/>
              <w:left w:val="nil"/>
              <w:bottom w:val="single" w:sz="4" w:space="0" w:color="auto"/>
              <w:right w:val="single" w:sz="4" w:space="0" w:color="000000"/>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2022年执行数</w:t>
            </w:r>
          </w:p>
        </w:tc>
        <w:tc>
          <w:tcPr>
            <w:tcW w:w="5482" w:type="dxa"/>
            <w:gridSpan w:val="4"/>
            <w:tcBorders>
              <w:top w:val="single" w:sz="4" w:space="0" w:color="auto"/>
              <w:left w:val="nil"/>
              <w:bottom w:val="single" w:sz="4" w:space="0" w:color="auto"/>
              <w:right w:val="single" w:sz="4" w:space="0" w:color="000000"/>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2023年预算数</w:t>
            </w:r>
          </w:p>
        </w:tc>
        <w:tc>
          <w:tcPr>
            <w:tcW w:w="2248" w:type="dxa"/>
            <w:gridSpan w:val="2"/>
            <w:tcBorders>
              <w:top w:val="single" w:sz="4" w:space="0" w:color="auto"/>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2023年预算数比</w:t>
            </w:r>
          </w:p>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2022年执行数</w:t>
            </w:r>
          </w:p>
        </w:tc>
        <w:tc>
          <w:tcPr>
            <w:tcW w:w="2245" w:type="dxa"/>
            <w:gridSpan w:val="2"/>
            <w:tcBorders>
              <w:top w:val="single" w:sz="4" w:space="0" w:color="auto"/>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2023年预算数比</w:t>
            </w:r>
          </w:p>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2022年执行数</w:t>
            </w:r>
          </w:p>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（扣除中央基建投资）</w:t>
            </w:r>
          </w:p>
        </w:tc>
      </w:tr>
      <w:tr>
        <w:trPr>
          <w:cantSplit/>
          <w:trHeight w:val="255"/>
        </w:trPr>
        <w:tc>
          <w:tcPr>
            <w:tcW w:w="964"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科目编码</w:t>
            </w:r>
          </w:p>
        </w:tc>
        <w:tc>
          <w:tcPr>
            <w:tcW w:w="1877"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科目名称</w:t>
            </w:r>
          </w:p>
        </w:tc>
        <w:tc>
          <w:tcPr>
            <w:tcW w:w="1056"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执行数</w:t>
            </w:r>
          </w:p>
        </w:tc>
        <w:tc>
          <w:tcPr>
            <w:tcW w:w="1636"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扣除中央基建投资后执行数</w:t>
            </w:r>
          </w:p>
        </w:tc>
        <w:tc>
          <w:tcPr>
            <w:tcW w:w="3850" w:type="dxa"/>
            <w:gridSpan w:val="3"/>
            <w:tcBorders>
              <w:top w:val="single" w:sz="4" w:space="0" w:color="auto"/>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年初预算数</w:t>
            </w:r>
          </w:p>
        </w:tc>
        <w:tc>
          <w:tcPr>
            <w:tcW w:w="1632"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扣除中央基建投资后预算数</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增减额</w:t>
            </w:r>
          </w:p>
        </w:tc>
        <w:tc>
          <w:tcPr>
            <w:tcW w:w="964"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w:t>
            </w:r>
          </w:p>
        </w:tc>
        <w:tc>
          <w:tcPr>
            <w:tcW w:w="1216"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增减额</w:t>
            </w:r>
          </w:p>
        </w:tc>
        <w:tc>
          <w:tcPr>
            <w:tcW w:w="1029"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w:t>
            </w:r>
          </w:p>
        </w:tc>
      </w:tr>
      <w:tr>
        <w:trPr>
          <w:cantSplit/>
          <w:trHeight w:val="255"/>
        </w:trPr>
        <w:tc>
          <w:tcPr>
            <w:tcW w:w="964" w:type="dxa"/>
            <w:vMerge/>
            <w:tcBorders>
              <w:top w:val="nil"/>
              <w:left w:val="single" w:sz="4" w:space="0" w:color="auto"/>
              <w:bottom w:val="single" w:sz="4" w:space="0" w:color="000000"/>
              <w:right w:val="single" w:sz="4" w:space="0" w:color="auto"/>
            </w:tcBorders>
            <w:vAlign w:val="center"/>
          </w:tcPr>
          <w:p/>
        </w:tc>
        <w:tc>
          <w:tcPr>
            <w:tcW w:w="1877" w:type="dxa"/>
            <w:vMerge/>
            <w:tcBorders>
              <w:top w:val="nil"/>
              <w:left w:val="single" w:sz="4" w:space="0" w:color="auto"/>
              <w:bottom w:val="single" w:sz="4" w:space="0" w:color="000000"/>
              <w:right w:val="single" w:sz="4" w:space="0" w:color="auto"/>
            </w:tcBorders>
            <w:vAlign w:val="center"/>
          </w:tcPr>
          <w:p/>
        </w:tc>
        <w:tc>
          <w:tcPr>
            <w:tcW w:w="1056" w:type="dxa"/>
            <w:vMerge/>
            <w:tcBorders>
              <w:top w:val="nil"/>
              <w:left w:val="single" w:sz="4" w:space="0" w:color="auto"/>
              <w:bottom w:val="single" w:sz="4" w:space="0" w:color="000000"/>
              <w:right w:val="single" w:sz="4" w:space="0" w:color="auto"/>
            </w:tcBorders>
            <w:vAlign w:val="center"/>
          </w:tcPr>
          <w:p/>
        </w:tc>
        <w:tc>
          <w:tcPr>
            <w:tcW w:w="1636" w:type="dxa"/>
            <w:vMerge/>
            <w:tcBorders>
              <w:top w:val="nil"/>
              <w:left w:val="single" w:sz="4" w:space="0" w:color="auto"/>
              <w:bottom w:val="single" w:sz="4" w:space="0" w:color="000000"/>
              <w:right w:val="single" w:sz="4" w:space="0" w:color="auto"/>
            </w:tcBorders>
            <w:vAlign w:val="center"/>
          </w:tcPr>
          <w:p/>
        </w:tc>
        <w:tc>
          <w:tcPr>
            <w:tcW w:w="1390" w:type="dxa"/>
            <w:tcBorders>
              <w:top w:val="nil"/>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小计</w:t>
            </w:r>
          </w:p>
        </w:tc>
        <w:tc>
          <w:tcPr>
            <w:tcW w:w="1310" w:type="dxa"/>
            <w:tcBorders>
              <w:top w:val="nil"/>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基本支出</w:t>
            </w:r>
          </w:p>
        </w:tc>
        <w:tc>
          <w:tcPr>
            <w:tcW w:w="1150" w:type="dxa"/>
            <w:tcBorders>
              <w:top w:val="nil"/>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项目支出</w:t>
            </w:r>
          </w:p>
        </w:tc>
        <w:tc>
          <w:tcPr>
            <w:tcW w:w="1632" w:type="dxa"/>
            <w:vMerge/>
            <w:tcBorders>
              <w:top w:val="nil"/>
              <w:left w:val="single" w:sz="4" w:space="0" w:color="auto"/>
              <w:bottom w:val="single" w:sz="4" w:space="0" w:color="000000"/>
              <w:right w:val="single" w:sz="4" w:space="0" w:color="auto"/>
            </w:tcBorders>
            <w:vAlign w:val="center"/>
          </w:tcPr>
          <w:p/>
        </w:tc>
        <w:tc>
          <w:tcPr>
            <w:tcW w:w="1284" w:type="dxa"/>
            <w:vMerge/>
            <w:tcBorders>
              <w:top w:val="nil"/>
              <w:left w:val="single" w:sz="4" w:space="0" w:color="auto"/>
              <w:bottom w:val="single" w:sz="4" w:space="0" w:color="000000"/>
              <w:right w:val="single" w:sz="4" w:space="0" w:color="auto"/>
            </w:tcBorders>
            <w:vAlign w:val="center"/>
          </w:tcPr>
          <w:p/>
        </w:tc>
        <w:tc>
          <w:tcPr>
            <w:tcW w:w="964" w:type="dxa"/>
            <w:vMerge/>
            <w:tcBorders>
              <w:top w:val="nil"/>
              <w:left w:val="single" w:sz="4" w:space="0" w:color="auto"/>
              <w:bottom w:val="single" w:sz="4" w:space="0" w:color="000000"/>
              <w:right w:val="single" w:sz="4" w:space="0" w:color="auto"/>
            </w:tcBorders>
            <w:vAlign w:val="center"/>
          </w:tcPr>
          <w:p/>
        </w:tc>
        <w:tc>
          <w:tcPr>
            <w:tcW w:w="1216" w:type="dxa"/>
            <w:vMerge/>
            <w:tcBorders>
              <w:top w:val="nil"/>
              <w:left w:val="single" w:sz="4" w:space="0" w:color="auto"/>
              <w:bottom w:val="single" w:sz="4" w:space="0" w:color="000000"/>
              <w:right w:val="single" w:sz="4" w:space="0" w:color="auto"/>
            </w:tcBorders>
            <w:vAlign w:val="center"/>
          </w:tcPr>
          <w:p/>
        </w:tc>
        <w:tc>
          <w:tcPr>
            <w:tcW w:w="1029" w:type="dxa"/>
            <w:vMerge/>
            <w:tcBorders>
              <w:top w:val="nil"/>
              <w:left w:val="single" w:sz="4" w:space="0" w:color="auto"/>
              <w:bottom w:val="single" w:sz="4" w:space="0" w:color="000000"/>
              <w:right w:val="single" w:sz="4" w:space="0" w:color="auto"/>
            </w:tcBorders>
            <w:vAlign w:val="center"/>
          </w:tcP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201</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一般公共服务支出</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18,979.79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18,979.79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13,984.52</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9,669.78</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4,314.74</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13,984.52</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-4,995.27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-26.32%</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-4,995.27</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-26.32%</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20109</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海关事务</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18,979.79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18,979.79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13,984.52</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9,669.78</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4,314.74</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13,984.52</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-4,995.27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-26.32%</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-4,995.27</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-26.32%</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2010901</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行政运行</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13,013.60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13,013.60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9,669.78</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9,669.78</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9,669.78</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-3,343.82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-25.69%</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-3,343.82</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-25.69%</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2010902</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一般行政管理事务</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4.00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4.00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4.00</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4.00</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4.00</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0.00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0.00%</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0.00%</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2010903</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机关服务</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0.00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0.00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0.00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eastAsia="宋体" w:cs="Times New Roman"/>
                <w:bCs/>
                <w:color w:val="000000"/>
                <w:kern w:val="0"/>
                <w:sz w:val="16"/>
                <w:szCs w:val="16"/>
              </w:rPr>
            </w:pPr>
            <w:r>
              <w:rPr>
                <w:rFonts w:eastAsia="宋体" w:cs="Times New Roman" w:hint="eastAsia"/>
                <w:bCs/>
                <w:color w:val="000000"/>
                <w:kern w:val="0"/>
                <w:sz w:val="16"/>
                <w:szCs w:val="16"/>
              </w:rPr>
              <w:t>　</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2010905</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缉私办案</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425.08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425.08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498.83</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498.83</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515.05</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73.75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17.35%</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89.97</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17.35%</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2010907</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口岸管理</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115.72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115.72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65.72</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65.72</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65.72</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-50.00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-43.21%</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-50.00</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-43.21%</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2010908</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信息化建设</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657.00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657.00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872.00</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872.00</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872.00</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215.00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32.72%</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215.00</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32.72%</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2010909</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海关关务</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1,492.19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1,492.19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2,260.64</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2,260.64</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2,260.64</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768.45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51.50%</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768.45</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51.50%</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2010910</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关税征管</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56.00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56.00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24.55</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24.55</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24.55</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-31.45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-56.16%</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-31.45</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-56.16%</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2010911</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海关监管</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350.56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350.56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236.95</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236.95</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236.95</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-113.61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-32.41%</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-113.61</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-32.41%</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2010912</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检验检疫</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2,865.65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2,865.65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352.05</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352.05</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352.05</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-2,513.60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-87.71%</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-2,513.60</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-87.71%</w:t>
            </w:r>
          </w:p>
        </w:tc>
      </w:tr>
      <w:tr>
        <w:trPr>
          <w:cantSplit/>
          <w:trHeight w:val="255"/>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2010950</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事业运行</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right="80" w:firstLineChars="0" w:firstLine="0"/>
              <w:jc w:val="right"/>
              <w:rPr>
                <w:rFonts w:eastAsia="宋体" w:cs="Times New Roman"/>
                <w:color w:val="000000"/>
                <w:kern w:val="0"/>
                <w:sz w:val="16"/>
                <w:szCs w:val="16"/>
              </w:rPr>
            </w:pP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cs="Calibri" w:hint="eastAsia"/>
                <w:sz w:val="16"/>
                <w:szCs w:val="16"/>
              </w:rPr>
              <w:t>　</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r>
      <w:tr>
        <w:trPr>
          <w:cantSplit/>
          <w:trHeight w:val="255"/>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2010999</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其他海关事务支出</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r>
      <w:tr>
        <w:trPr>
          <w:cantSplit/>
          <w:trHeight w:val="255"/>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20111</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纪检监察事务</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r>
      <w:tr>
        <w:trPr>
          <w:cantSplit/>
          <w:trHeight w:val="255"/>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2011105</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派驻派出机构</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r>
      <w:tr>
        <w:trPr>
          <w:cantSplit/>
          <w:trHeight w:val="255"/>
        </w:trPr>
        <w:tc>
          <w:tcPr>
            <w:tcW w:w="284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bookmarkStart w:id="2" w:name="_Hlk134193335"/>
            <w:r>
              <w:rPr>
                <w:rFonts w:eastAsia="宋体" w:cs="宋体" w:hint="eastAsia"/>
                <w:kern w:val="0"/>
                <w:sz w:val="16"/>
                <w:szCs w:val="16"/>
              </w:rPr>
              <w:t>功能分类科目</w:t>
            </w:r>
          </w:p>
        </w:tc>
        <w:tc>
          <w:tcPr>
            <w:tcW w:w="2692" w:type="dxa"/>
            <w:gridSpan w:val="2"/>
            <w:tcBorders>
              <w:top w:val="single" w:sz="4" w:space="0" w:color="auto"/>
              <w:left w:val="nil"/>
              <w:bottom w:val="single" w:sz="4" w:space="0" w:color="auto"/>
              <w:right w:val="single" w:sz="4" w:space="0" w:color="000000"/>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2022年执行数</w:t>
            </w:r>
          </w:p>
        </w:tc>
        <w:tc>
          <w:tcPr>
            <w:tcW w:w="5482" w:type="dxa"/>
            <w:gridSpan w:val="4"/>
            <w:tcBorders>
              <w:top w:val="single" w:sz="4" w:space="0" w:color="auto"/>
              <w:left w:val="nil"/>
              <w:bottom w:val="single" w:sz="4" w:space="0" w:color="auto"/>
              <w:right w:val="single" w:sz="4" w:space="0" w:color="000000"/>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2023年预算数</w:t>
            </w:r>
          </w:p>
        </w:tc>
        <w:tc>
          <w:tcPr>
            <w:tcW w:w="2248" w:type="dxa"/>
            <w:gridSpan w:val="2"/>
            <w:tcBorders>
              <w:top w:val="single" w:sz="4" w:space="0" w:color="auto"/>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2023年预算数比</w:t>
            </w:r>
          </w:p>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2022年执行数</w:t>
            </w:r>
          </w:p>
        </w:tc>
        <w:tc>
          <w:tcPr>
            <w:tcW w:w="2245" w:type="dxa"/>
            <w:gridSpan w:val="2"/>
            <w:tcBorders>
              <w:top w:val="single" w:sz="4" w:space="0" w:color="auto"/>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2023年预算数比</w:t>
            </w:r>
          </w:p>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2022年执行数</w:t>
            </w:r>
          </w:p>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（扣除中央基建投资）</w:t>
            </w:r>
          </w:p>
        </w:tc>
      </w:tr>
      <w:tr>
        <w:trPr>
          <w:cantSplit/>
          <w:trHeight w:val="255"/>
        </w:trPr>
        <w:tc>
          <w:tcPr>
            <w:tcW w:w="964"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科目编码</w:t>
            </w:r>
          </w:p>
        </w:tc>
        <w:tc>
          <w:tcPr>
            <w:tcW w:w="1877"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科目名称</w:t>
            </w:r>
          </w:p>
        </w:tc>
        <w:tc>
          <w:tcPr>
            <w:tcW w:w="1056"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执行数</w:t>
            </w:r>
          </w:p>
        </w:tc>
        <w:tc>
          <w:tcPr>
            <w:tcW w:w="1636"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扣除中央基建投资后执行数</w:t>
            </w:r>
          </w:p>
        </w:tc>
        <w:tc>
          <w:tcPr>
            <w:tcW w:w="3850" w:type="dxa"/>
            <w:gridSpan w:val="3"/>
            <w:tcBorders>
              <w:top w:val="single" w:sz="4" w:space="0" w:color="auto"/>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年初预算数</w:t>
            </w:r>
          </w:p>
        </w:tc>
        <w:tc>
          <w:tcPr>
            <w:tcW w:w="1632"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扣除中央基建投资后预算数</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增减额</w:t>
            </w:r>
          </w:p>
        </w:tc>
        <w:tc>
          <w:tcPr>
            <w:tcW w:w="964"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w:t>
            </w:r>
          </w:p>
        </w:tc>
        <w:tc>
          <w:tcPr>
            <w:tcW w:w="1216"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增减额</w:t>
            </w:r>
          </w:p>
        </w:tc>
        <w:tc>
          <w:tcPr>
            <w:tcW w:w="1029"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w:t>
            </w:r>
          </w:p>
        </w:tc>
      </w:tr>
      <w:tr>
        <w:trPr>
          <w:cantSplit/>
          <w:trHeight w:val="255"/>
        </w:trPr>
        <w:tc>
          <w:tcPr>
            <w:tcW w:w="964" w:type="dxa"/>
            <w:vMerge/>
            <w:tcBorders>
              <w:top w:val="nil"/>
              <w:left w:val="single" w:sz="4" w:space="0" w:color="auto"/>
              <w:bottom w:val="single" w:sz="4" w:space="0" w:color="000000"/>
              <w:right w:val="single" w:sz="4" w:space="0" w:color="auto"/>
            </w:tcBorders>
            <w:vAlign w:val="center"/>
          </w:tcPr>
          <w:p/>
        </w:tc>
        <w:tc>
          <w:tcPr>
            <w:tcW w:w="1877" w:type="dxa"/>
            <w:vMerge/>
            <w:tcBorders>
              <w:top w:val="nil"/>
              <w:left w:val="single" w:sz="4" w:space="0" w:color="auto"/>
              <w:bottom w:val="single" w:sz="4" w:space="0" w:color="000000"/>
              <w:right w:val="single" w:sz="4" w:space="0" w:color="auto"/>
            </w:tcBorders>
            <w:vAlign w:val="center"/>
          </w:tcPr>
          <w:p/>
        </w:tc>
        <w:tc>
          <w:tcPr>
            <w:tcW w:w="1056" w:type="dxa"/>
            <w:vMerge/>
            <w:tcBorders>
              <w:top w:val="nil"/>
              <w:left w:val="single" w:sz="4" w:space="0" w:color="auto"/>
              <w:bottom w:val="single" w:sz="4" w:space="0" w:color="000000"/>
              <w:right w:val="single" w:sz="4" w:space="0" w:color="auto"/>
            </w:tcBorders>
            <w:vAlign w:val="center"/>
          </w:tcPr>
          <w:p/>
        </w:tc>
        <w:tc>
          <w:tcPr>
            <w:tcW w:w="1636" w:type="dxa"/>
            <w:vMerge/>
            <w:tcBorders>
              <w:top w:val="nil"/>
              <w:left w:val="single" w:sz="4" w:space="0" w:color="auto"/>
              <w:bottom w:val="single" w:sz="4" w:space="0" w:color="000000"/>
              <w:right w:val="single" w:sz="4" w:space="0" w:color="auto"/>
            </w:tcBorders>
            <w:vAlign w:val="center"/>
          </w:tcPr>
          <w:p/>
        </w:tc>
        <w:tc>
          <w:tcPr>
            <w:tcW w:w="1390" w:type="dxa"/>
            <w:tcBorders>
              <w:top w:val="nil"/>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小计</w:t>
            </w:r>
          </w:p>
        </w:tc>
        <w:tc>
          <w:tcPr>
            <w:tcW w:w="1310" w:type="dxa"/>
            <w:tcBorders>
              <w:top w:val="nil"/>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基本支出</w:t>
            </w:r>
          </w:p>
        </w:tc>
        <w:tc>
          <w:tcPr>
            <w:tcW w:w="1150" w:type="dxa"/>
            <w:tcBorders>
              <w:top w:val="nil"/>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项目支出</w:t>
            </w:r>
          </w:p>
        </w:tc>
        <w:tc>
          <w:tcPr>
            <w:tcW w:w="1632" w:type="dxa"/>
            <w:vMerge/>
            <w:tcBorders>
              <w:top w:val="nil"/>
              <w:left w:val="single" w:sz="4" w:space="0" w:color="auto"/>
              <w:bottom w:val="single" w:sz="4" w:space="0" w:color="000000"/>
              <w:right w:val="single" w:sz="4" w:space="0" w:color="auto"/>
            </w:tcBorders>
            <w:vAlign w:val="center"/>
          </w:tcPr>
          <w:p/>
        </w:tc>
        <w:tc>
          <w:tcPr>
            <w:tcW w:w="1284" w:type="dxa"/>
            <w:vMerge/>
            <w:tcBorders>
              <w:top w:val="nil"/>
              <w:left w:val="single" w:sz="4" w:space="0" w:color="auto"/>
              <w:bottom w:val="single" w:sz="4" w:space="0" w:color="000000"/>
              <w:right w:val="single" w:sz="4" w:space="0" w:color="auto"/>
            </w:tcBorders>
            <w:vAlign w:val="center"/>
          </w:tcPr>
          <w:p/>
        </w:tc>
        <w:tc>
          <w:tcPr>
            <w:tcW w:w="964" w:type="dxa"/>
            <w:vMerge/>
            <w:tcBorders>
              <w:top w:val="nil"/>
              <w:left w:val="single" w:sz="4" w:space="0" w:color="auto"/>
              <w:bottom w:val="single" w:sz="4" w:space="0" w:color="000000"/>
              <w:right w:val="single" w:sz="4" w:space="0" w:color="auto"/>
            </w:tcBorders>
            <w:vAlign w:val="center"/>
          </w:tcPr>
          <w:p/>
        </w:tc>
        <w:tc>
          <w:tcPr>
            <w:tcW w:w="1216" w:type="dxa"/>
            <w:vMerge/>
            <w:tcBorders>
              <w:top w:val="nil"/>
              <w:left w:val="single" w:sz="4" w:space="0" w:color="auto"/>
              <w:bottom w:val="single" w:sz="4" w:space="0" w:color="000000"/>
              <w:right w:val="single" w:sz="4" w:space="0" w:color="auto"/>
            </w:tcBorders>
            <w:vAlign w:val="center"/>
          </w:tcPr>
          <w:p/>
        </w:tc>
        <w:tc>
          <w:tcPr>
            <w:tcW w:w="1029" w:type="dxa"/>
            <w:vMerge/>
            <w:tcBorders>
              <w:top w:val="nil"/>
              <w:left w:val="single" w:sz="4" w:space="0" w:color="auto"/>
              <w:bottom w:val="single" w:sz="4" w:space="0" w:color="000000"/>
              <w:right w:val="single" w:sz="4" w:space="0" w:color="auto"/>
            </w:tcBorders>
            <w:vAlign w:val="center"/>
          </w:tcPr>
          <w:p/>
        </w:tc>
      </w:tr>
      <w:tr>
        <w:trPr>
          <w:cantSplit/>
          <w:trHeight w:val="255"/>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bookmarkEnd w:id="2"/>
            <w:r>
              <w:rPr>
                <w:rFonts w:eastAsia="宋体" w:cs="宋体" w:hint="eastAsia"/>
                <w:b/>
                <w:bCs/>
                <w:color w:val="000000"/>
                <w:kern w:val="0"/>
                <w:sz w:val="16"/>
                <w:szCs w:val="16"/>
              </w:rPr>
              <w:t>202</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外交支出</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r>
      <w:tr>
        <w:trPr>
          <w:cantSplit/>
          <w:trHeight w:val="255"/>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20204</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国际组织</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r>
      <w:tr>
        <w:trPr>
          <w:cantSplit/>
          <w:trHeight w:val="255"/>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2020401</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国际组织会费</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r>
      <w:tr>
        <w:trPr>
          <w:cantSplit/>
          <w:trHeight w:val="255"/>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2020402</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国际组织捐赠</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r>
      <w:tr>
        <w:trPr>
          <w:cantSplit/>
          <w:trHeight w:val="255"/>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20299</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其他外交支出</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r>
      <w:tr>
        <w:trPr>
          <w:cantSplit/>
          <w:trHeight w:val="255"/>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2029999</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其他外交支出</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204</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公共安全支出</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2,608.52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2,608.52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2,955.07</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1,819.49</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1,135.58</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2,955.07</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346.55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13.29%</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346.55</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13.29%</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20410</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缉私警察</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2,608.52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2,608.52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2,955.07</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1,819.49</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1,135.58</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2,955.07</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346.55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13.29%</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346.55</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13.29%</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2041001</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行政运行</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1,871.63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1,871.63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1,819.49</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1,819.49</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1,819.49</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-52.14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-2.79%</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-52.14</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-2.79%</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2041002</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一般行政管理事务</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0.00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eastAsia="宋体" w:cs="Times New Roman"/>
                <w:bCs/>
                <w:color w:val="000000"/>
                <w:kern w:val="0"/>
                <w:sz w:val="16"/>
                <w:szCs w:val="16"/>
              </w:rPr>
            </w:pPr>
            <w:r>
              <w:rPr>
                <w:rFonts w:eastAsia="宋体" w:cs="Times New Roman" w:hint="eastAsia"/>
                <w:bCs/>
                <w:color w:val="000000"/>
                <w:kern w:val="0"/>
                <w:sz w:val="16"/>
                <w:szCs w:val="16"/>
              </w:rPr>
              <w:t>　</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2041006</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信息化建设</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153.00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153.00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158.00</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158.00</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158.00</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5.00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3.27%</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5.00</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3.27%</w:t>
            </w:r>
          </w:p>
        </w:tc>
      </w:tr>
      <w:tr>
        <w:trPr>
          <w:cantSplit/>
          <w:trHeight w:hRule="exact" w:val="284"/>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2041007</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缉私业务</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583.88 </w:t>
            </w: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583.88 </w:t>
            </w: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977.58</w:t>
            </w: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977.58</w:t>
            </w: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977.58</w:t>
            </w: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 xml:space="preserve">393.70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67.43%</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393.70</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Cs/>
                <w:color w:val="000000"/>
                <w:kern w:val="0"/>
                <w:sz w:val="16"/>
                <w:szCs w:val="16"/>
              </w:rPr>
            </w:pPr>
            <w:r>
              <w:rPr>
                <w:rFonts w:eastAsia="宋体" w:cs="Times New Roman" w:hint="eastAsia"/>
                <w:bCs/>
                <w:color w:val="000000"/>
                <w:kern w:val="0"/>
                <w:sz w:val="16"/>
                <w:szCs w:val="16"/>
              </w:rPr>
              <w:t>67.43%</w:t>
            </w:r>
          </w:p>
        </w:tc>
      </w:tr>
      <w:tr>
        <w:trPr>
          <w:cantSplit/>
          <w:trHeight w:val="255"/>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205</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教育支出</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r>
              <w:rPr>
                <w:rFonts w:eastAsia="等线" w:cs="Times New Roman"/>
                <w:color w:val="000000"/>
                <w:sz w:val="16"/>
                <w:szCs w:val="16"/>
              </w:rPr>
              <w:t>　</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r>
              <w:rPr>
                <w:rFonts w:eastAsia="等线" w:cs="Times New Roman"/>
                <w:color w:val="000000"/>
                <w:sz w:val="16"/>
                <w:szCs w:val="16"/>
              </w:rPr>
              <w:t>　</w:t>
            </w:r>
          </w:p>
        </w:tc>
      </w:tr>
      <w:tr>
        <w:trPr>
          <w:cantSplit/>
          <w:trHeight w:val="255"/>
        </w:trPr>
        <w:tc>
          <w:tcPr>
            <w:tcW w:w="964" w:type="dxa"/>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20502</w:t>
            </w:r>
          </w:p>
        </w:tc>
        <w:tc>
          <w:tcPr>
            <w:tcW w:w="1877"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普通教育</w:t>
            </w:r>
          </w:p>
        </w:tc>
        <w:tc>
          <w:tcPr>
            <w:tcW w:w="105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39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632"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964"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1216"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r>
              <w:rPr>
                <w:rFonts w:eastAsia="等线" w:cs="Times New Roman"/>
                <w:color w:val="000000"/>
                <w:sz w:val="16"/>
                <w:szCs w:val="16"/>
              </w:rPr>
              <w:t>　</w:t>
            </w:r>
          </w:p>
        </w:tc>
        <w:tc>
          <w:tcPr>
            <w:tcW w:w="1029" w:type="dxa"/>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b/>
                <w:bCs/>
                <w:color w:val="000000"/>
                <w:kern w:val="0"/>
                <w:sz w:val="16"/>
                <w:szCs w:val="16"/>
              </w:rPr>
            </w:pPr>
            <w:r>
              <w:rPr>
                <w:rFonts w:eastAsia="等线" w:cs="Times New Roman"/>
                <w:color w:val="000000"/>
                <w:sz w:val="16"/>
                <w:szCs w:val="16"/>
              </w:rPr>
              <w:t>　</w:t>
            </w:r>
          </w:p>
        </w:tc>
      </w:tr>
      <w:tr>
        <w:trPr>
          <w:cantSplit/>
          <w:trHeight w:val="255"/>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2050205</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高等教育</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等线" w:cs="Times New Roman"/>
                <w:color w:val="000000"/>
                <w:sz w:val="16"/>
                <w:szCs w:val="16"/>
              </w:rPr>
              <w:t>　</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208</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社会保障和就业支出</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xml:space="preserve">4,848.22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xml:space="preserve">4,848.22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2,020.70</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2,020.70</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eastAsia="宋体" w:cs="Times New Roman"/>
                <w:color w:val="000000"/>
                <w:kern w:val="0"/>
                <w:sz w:val="16"/>
                <w:szCs w:val="16"/>
              </w:rPr>
            </w:pPr>
            <w:r>
              <w:rPr>
                <w:rFonts w:eastAsia="宋体" w:cs="Times New Roman" w:hint="eastAsia"/>
                <w:color w:val="000000"/>
                <w:kern w:val="0"/>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2,020.70</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xml:space="preserve">-2,827.52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-58.32%</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-2,827.52</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-58.32%</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20805</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行政事业单位养老支出</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xml:space="preserve">4,848.22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xml:space="preserve">4,848.22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2,020.70</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2,020.70</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eastAsia="宋体" w:cs="Times New Roman"/>
                <w:color w:val="000000"/>
                <w:kern w:val="0"/>
                <w:sz w:val="16"/>
                <w:szCs w:val="16"/>
              </w:rPr>
            </w:pPr>
            <w:r>
              <w:rPr>
                <w:rFonts w:eastAsia="宋体" w:cs="Times New Roman" w:hint="eastAsia"/>
                <w:color w:val="000000"/>
                <w:kern w:val="0"/>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2,020.70</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xml:space="preserve">-2,827.52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-58.32%</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-2,827.52</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-58.32%</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2080501</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行政单位离退休</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xml:space="preserve">387.36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xml:space="preserve">387.36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348.38</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348.38</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eastAsia="宋体" w:cs="Times New Roman"/>
                <w:color w:val="000000"/>
                <w:kern w:val="0"/>
                <w:sz w:val="16"/>
                <w:szCs w:val="16"/>
              </w:rPr>
            </w:pPr>
            <w:r>
              <w:rPr>
                <w:rFonts w:eastAsia="宋体" w:cs="Times New Roman" w:hint="eastAsia"/>
                <w:color w:val="000000"/>
                <w:kern w:val="0"/>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348.38</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 xml:space="preserve">-38.98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-10.06%</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-38.98</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r>
              <w:rPr>
                <w:rFonts w:eastAsia="宋体" w:cs="Times New Roman" w:hint="eastAsia"/>
                <w:color w:val="000000"/>
                <w:kern w:val="0"/>
                <w:sz w:val="16"/>
                <w:szCs w:val="16"/>
              </w:rPr>
              <w:t>-10.06%</w:t>
            </w:r>
          </w:p>
        </w:tc>
      </w:tr>
      <w:tr>
        <w:trPr>
          <w:cantSplit/>
          <w:trHeight w:val="255"/>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2080502</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事业单位离退休</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r>
      <w:tr>
        <w:trPr>
          <w:cantSplit/>
          <w:trHeight w:val="255"/>
        </w:trPr>
        <w:tc>
          <w:tcPr>
            <w:tcW w:w="284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功能分类科目</w:t>
            </w:r>
          </w:p>
        </w:tc>
        <w:tc>
          <w:tcPr>
            <w:tcW w:w="2692" w:type="dxa"/>
            <w:gridSpan w:val="2"/>
            <w:tcBorders>
              <w:top w:val="single" w:sz="4" w:space="0" w:color="auto"/>
              <w:left w:val="nil"/>
              <w:bottom w:val="single" w:sz="4" w:space="0" w:color="auto"/>
              <w:right w:val="single" w:sz="4" w:space="0" w:color="000000"/>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2022年执行数</w:t>
            </w:r>
          </w:p>
        </w:tc>
        <w:tc>
          <w:tcPr>
            <w:tcW w:w="5482" w:type="dxa"/>
            <w:gridSpan w:val="4"/>
            <w:tcBorders>
              <w:top w:val="single" w:sz="4" w:space="0" w:color="auto"/>
              <w:left w:val="nil"/>
              <w:bottom w:val="single" w:sz="4" w:space="0" w:color="auto"/>
              <w:right w:val="single" w:sz="4" w:space="0" w:color="000000"/>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2023年预算数</w:t>
            </w:r>
          </w:p>
        </w:tc>
        <w:tc>
          <w:tcPr>
            <w:tcW w:w="2248" w:type="dxa"/>
            <w:gridSpan w:val="2"/>
            <w:tcBorders>
              <w:top w:val="single" w:sz="4" w:space="0" w:color="auto"/>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2023年预算数比</w:t>
            </w:r>
          </w:p>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2022年执行数</w:t>
            </w:r>
          </w:p>
        </w:tc>
        <w:tc>
          <w:tcPr>
            <w:tcW w:w="2245" w:type="dxa"/>
            <w:gridSpan w:val="2"/>
            <w:tcBorders>
              <w:top w:val="single" w:sz="4" w:space="0" w:color="auto"/>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2023年预算数比</w:t>
            </w:r>
          </w:p>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2022年执行数</w:t>
            </w:r>
          </w:p>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（扣除中央基建投资）</w:t>
            </w:r>
          </w:p>
        </w:tc>
      </w:tr>
      <w:tr>
        <w:trPr>
          <w:cantSplit/>
          <w:trHeight w:val="255"/>
        </w:trPr>
        <w:tc>
          <w:tcPr>
            <w:tcW w:w="964"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科目编码</w:t>
            </w:r>
          </w:p>
        </w:tc>
        <w:tc>
          <w:tcPr>
            <w:tcW w:w="1877"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科目名称</w:t>
            </w:r>
          </w:p>
        </w:tc>
        <w:tc>
          <w:tcPr>
            <w:tcW w:w="1056"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执行数</w:t>
            </w:r>
          </w:p>
        </w:tc>
        <w:tc>
          <w:tcPr>
            <w:tcW w:w="1636"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扣除中央基建投资后执行数</w:t>
            </w:r>
          </w:p>
        </w:tc>
        <w:tc>
          <w:tcPr>
            <w:tcW w:w="3850" w:type="dxa"/>
            <w:gridSpan w:val="3"/>
            <w:tcBorders>
              <w:top w:val="single" w:sz="4" w:space="0" w:color="auto"/>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年初预算数</w:t>
            </w:r>
          </w:p>
        </w:tc>
        <w:tc>
          <w:tcPr>
            <w:tcW w:w="1632"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扣除中央基建投资后预算数</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增减额</w:t>
            </w:r>
          </w:p>
        </w:tc>
        <w:tc>
          <w:tcPr>
            <w:tcW w:w="964"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w:t>
            </w:r>
          </w:p>
        </w:tc>
        <w:tc>
          <w:tcPr>
            <w:tcW w:w="1216"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增减额</w:t>
            </w:r>
          </w:p>
        </w:tc>
        <w:tc>
          <w:tcPr>
            <w:tcW w:w="1029" w:type="dxa"/>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w:t>
            </w:r>
          </w:p>
        </w:tc>
      </w:tr>
      <w:tr>
        <w:trPr>
          <w:cantSplit/>
          <w:trHeight w:val="255"/>
        </w:trPr>
        <w:tc>
          <w:tcPr>
            <w:tcW w:w="964" w:type="dxa"/>
            <w:vMerge/>
            <w:tcBorders>
              <w:top w:val="nil"/>
              <w:left w:val="single" w:sz="4" w:space="0" w:color="auto"/>
              <w:bottom w:val="single" w:sz="4" w:space="0" w:color="000000"/>
              <w:right w:val="single" w:sz="4" w:space="0" w:color="auto"/>
            </w:tcBorders>
            <w:vAlign w:val="center"/>
          </w:tcPr>
          <w:p/>
        </w:tc>
        <w:tc>
          <w:tcPr>
            <w:tcW w:w="1877" w:type="dxa"/>
            <w:vMerge/>
            <w:tcBorders>
              <w:top w:val="nil"/>
              <w:left w:val="single" w:sz="4" w:space="0" w:color="auto"/>
              <w:bottom w:val="single" w:sz="4" w:space="0" w:color="000000"/>
              <w:right w:val="single" w:sz="4" w:space="0" w:color="auto"/>
            </w:tcBorders>
            <w:vAlign w:val="center"/>
          </w:tcPr>
          <w:p/>
        </w:tc>
        <w:tc>
          <w:tcPr>
            <w:tcW w:w="1056" w:type="dxa"/>
            <w:vMerge/>
            <w:tcBorders>
              <w:top w:val="nil"/>
              <w:left w:val="single" w:sz="4" w:space="0" w:color="auto"/>
              <w:bottom w:val="single" w:sz="4" w:space="0" w:color="000000"/>
              <w:right w:val="single" w:sz="4" w:space="0" w:color="auto"/>
            </w:tcBorders>
            <w:vAlign w:val="center"/>
          </w:tcPr>
          <w:p/>
        </w:tc>
        <w:tc>
          <w:tcPr>
            <w:tcW w:w="1636" w:type="dxa"/>
            <w:vMerge/>
            <w:tcBorders>
              <w:top w:val="nil"/>
              <w:left w:val="single" w:sz="4" w:space="0" w:color="auto"/>
              <w:bottom w:val="single" w:sz="4" w:space="0" w:color="000000"/>
              <w:right w:val="single" w:sz="4" w:space="0" w:color="auto"/>
            </w:tcBorders>
            <w:vAlign w:val="center"/>
          </w:tcPr>
          <w:p/>
        </w:tc>
        <w:tc>
          <w:tcPr>
            <w:tcW w:w="1390" w:type="dxa"/>
            <w:tcBorders>
              <w:top w:val="nil"/>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小计</w:t>
            </w:r>
          </w:p>
        </w:tc>
        <w:tc>
          <w:tcPr>
            <w:tcW w:w="1310" w:type="dxa"/>
            <w:tcBorders>
              <w:top w:val="nil"/>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基本支出</w:t>
            </w:r>
          </w:p>
        </w:tc>
        <w:tc>
          <w:tcPr>
            <w:tcW w:w="1150" w:type="dxa"/>
            <w:tcBorders>
              <w:top w:val="nil"/>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项目支出</w:t>
            </w:r>
          </w:p>
        </w:tc>
        <w:tc>
          <w:tcPr>
            <w:tcW w:w="1632" w:type="dxa"/>
            <w:vMerge/>
            <w:tcBorders>
              <w:top w:val="nil"/>
              <w:left w:val="single" w:sz="4" w:space="0" w:color="auto"/>
              <w:bottom w:val="single" w:sz="4" w:space="0" w:color="000000"/>
              <w:right w:val="single" w:sz="4" w:space="0" w:color="auto"/>
            </w:tcBorders>
            <w:vAlign w:val="center"/>
          </w:tcPr>
          <w:p/>
        </w:tc>
        <w:tc>
          <w:tcPr>
            <w:tcW w:w="1284" w:type="dxa"/>
            <w:vMerge/>
            <w:tcBorders>
              <w:top w:val="nil"/>
              <w:left w:val="single" w:sz="4" w:space="0" w:color="auto"/>
              <w:bottom w:val="single" w:sz="4" w:space="0" w:color="000000"/>
              <w:right w:val="single" w:sz="4" w:space="0" w:color="auto"/>
            </w:tcBorders>
            <w:vAlign w:val="center"/>
          </w:tcPr>
          <w:p/>
        </w:tc>
        <w:tc>
          <w:tcPr>
            <w:tcW w:w="964" w:type="dxa"/>
            <w:vMerge/>
            <w:tcBorders>
              <w:top w:val="nil"/>
              <w:left w:val="single" w:sz="4" w:space="0" w:color="auto"/>
              <w:bottom w:val="single" w:sz="4" w:space="0" w:color="000000"/>
              <w:right w:val="single" w:sz="4" w:space="0" w:color="auto"/>
            </w:tcBorders>
            <w:vAlign w:val="center"/>
          </w:tcPr>
          <w:p/>
        </w:tc>
        <w:tc>
          <w:tcPr>
            <w:tcW w:w="1216" w:type="dxa"/>
            <w:vMerge/>
            <w:tcBorders>
              <w:top w:val="nil"/>
              <w:left w:val="single" w:sz="4" w:space="0" w:color="auto"/>
              <w:bottom w:val="single" w:sz="4" w:space="0" w:color="000000"/>
              <w:right w:val="single" w:sz="4" w:space="0" w:color="auto"/>
            </w:tcBorders>
            <w:vAlign w:val="center"/>
          </w:tcPr>
          <w:p/>
        </w:tc>
        <w:tc>
          <w:tcPr>
            <w:tcW w:w="1029" w:type="dxa"/>
            <w:vMerge/>
            <w:tcBorders>
              <w:top w:val="nil"/>
              <w:left w:val="single" w:sz="4" w:space="0" w:color="auto"/>
              <w:bottom w:val="single" w:sz="4" w:space="0" w:color="000000"/>
              <w:right w:val="single" w:sz="4" w:space="0" w:color="auto"/>
            </w:tcBorders>
            <w:vAlign w:val="center"/>
          </w:tcPr>
          <w:p/>
        </w:tc>
      </w:tr>
      <w:tr>
        <w:trPr>
          <w:cantSplit/>
          <w:trHeight w:val="255"/>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2080503</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离退休人员管理机构</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宋体" w:cs="Times New Roman"/>
                <w:color w:val="000000"/>
                <w:kern w:val="0"/>
                <w:sz w:val="16"/>
                <w:szCs w:val="16"/>
              </w:rPr>
            </w:pP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2080505</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机关事业单位基本养老保险缴费支出</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3,350.01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3,350.01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1,119.03</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1,119.03</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cs="Calibri"/>
                <w:sz w:val="16"/>
                <w:szCs w:val="16"/>
              </w:rPr>
            </w:pPr>
            <w:r>
              <w:rPr>
                <w:rFonts w:cs="Calibri" w:hint="eastAsia"/>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1,119.03</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-2,230.98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-66.60%</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-2,230.98</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-66.60%</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2080506</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机关事业单位职业年金缴费支出</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1,110.85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1,110.85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553.29</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553.29</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cs="Calibri"/>
                <w:sz w:val="16"/>
                <w:szCs w:val="16"/>
              </w:rPr>
            </w:pPr>
            <w:r>
              <w:rPr>
                <w:rFonts w:cs="Calibri" w:hint="eastAsia"/>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553.29</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-557.56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-50.19%</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-557.56</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-50.19%</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b/>
                <w:bCs/>
                <w:color w:val="000000"/>
                <w:kern w:val="0"/>
                <w:sz w:val="16"/>
                <w:szCs w:val="16"/>
              </w:rPr>
              <w:t>210</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b/>
                <w:bCs/>
                <w:color w:val="000000"/>
                <w:kern w:val="0"/>
                <w:sz w:val="16"/>
                <w:szCs w:val="16"/>
              </w:rPr>
              <w:t xml:space="preserve">  卫生健康支出</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1,045.20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1,045.20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1,197.74</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1,197.74</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cs="Calibri"/>
                <w:sz w:val="16"/>
                <w:szCs w:val="16"/>
              </w:rPr>
            </w:pPr>
            <w:r>
              <w:rPr>
                <w:rFonts w:cs="Calibri" w:hint="eastAsia"/>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1,197.74</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152.54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14.59%</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152.54</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14.59%</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b/>
                <w:bCs/>
                <w:color w:val="000000"/>
                <w:kern w:val="0"/>
                <w:sz w:val="16"/>
                <w:szCs w:val="16"/>
              </w:rPr>
              <w:t>21011</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b/>
                <w:bCs/>
                <w:color w:val="000000"/>
                <w:kern w:val="0"/>
                <w:sz w:val="16"/>
                <w:szCs w:val="16"/>
              </w:rPr>
              <w:t xml:space="preserve">    行政事业单位医疗</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1,045.20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1,045.20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1,197.74</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1,197.74</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cs="Calibri"/>
                <w:sz w:val="16"/>
                <w:szCs w:val="16"/>
              </w:rPr>
            </w:pPr>
            <w:r>
              <w:rPr>
                <w:rFonts w:cs="Calibri" w:hint="eastAsia"/>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1,197.74</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152.54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14.59%</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152.54</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14.59%</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2101101</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行政单位医疗</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609.76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609.76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718.76</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718.76</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cs="Calibri"/>
                <w:sz w:val="16"/>
                <w:szCs w:val="16"/>
              </w:rPr>
            </w:pPr>
            <w:r>
              <w:rPr>
                <w:rFonts w:cs="Calibri" w:hint="eastAsia"/>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718.76</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109.00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17.88%</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109.00</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17.88%</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2101103</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公务员医疗补助</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435.43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435.43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447.37</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447.37</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cs="Calibri"/>
                <w:sz w:val="16"/>
                <w:szCs w:val="16"/>
              </w:rPr>
            </w:pPr>
            <w:r>
              <w:rPr>
                <w:rFonts w:cs="Calibri" w:hint="eastAsia"/>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447.37</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11.94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2.74%</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11.94</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2.74%</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2101199</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其他行政事业单位医疗支出</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31.61</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31.61</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31.61</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31.61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31.61</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b/>
                <w:bCs/>
                <w:color w:val="000000"/>
                <w:kern w:val="0"/>
                <w:sz w:val="16"/>
                <w:szCs w:val="16"/>
              </w:rPr>
              <w:t>221</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b/>
                <w:bCs/>
                <w:color w:val="000000"/>
                <w:kern w:val="0"/>
                <w:sz w:val="16"/>
                <w:szCs w:val="16"/>
              </w:rPr>
              <w:t xml:space="preserve">  住房保障支出</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3,755.33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3,755.33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3,322.26</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3,322.26</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cs="Calibri"/>
                <w:sz w:val="16"/>
                <w:szCs w:val="16"/>
              </w:rPr>
            </w:pPr>
            <w:r>
              <w:rPr>
                <w:rFonts w:cs="Calibri" w:hint="eastAsia"/>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3,322.26</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-433.07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-11.53%</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-433.07</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-11.53%</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b/>
                <w:bCs/>
                <w:color w:val="000000"/>
                <w:kern w:val="0"/>
                <w:sz w:val="16"/>
                <w:szCs w:val="16"/>
              </w:rPr>
              <w:t>22102</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b/>
                <w:bCs/>
                <w:color w:val="000000"/>
                <w:kern w:val="0"/>
                <w:sz w:val="16"/>
                <w:szCs w:val="16"/>
              </w:rPr>
              <w:t xml:space="preserve">    住房改革支出</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3,755.33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3,755.33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3,322.26</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3,322.26</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cs="Calibri"/>
                <w:sz w:val="16"/>
                <w:szCs w:val="16"/>
              </w:rPr>
            </w:pPr>
            <w:r>
              <w:rPr>
                <w:rFonts w:cs="Calibri" w:hint="eastAsia"/>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3,322.26</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-433.07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-11.53%</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-433.07</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-11.53%</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2210201</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住房公积金</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905.03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905.03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1,187.26</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1,187.26</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cs="Calibri"/>
                <w:sz w:val="16"/>
                <w:szCs w:val="16"/>
              </w:rPr>
            </w:pPr>
            <w:r>
              <w:rPr>
                <w:rFonts w:cs="Calibri" w:hint="eastAsia"/>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1,187.26</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282.23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31.18%</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282.23</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31.18%</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2210202</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提租补贴</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0.00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r>
      <w:tr>
        <w:trPr>
          <w:cantSplit/>
          <w:trHeight w:hRule="exact" w:val="284"/>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2210203</w:t>
            </w:r>
          </w:p>
        </w:tc>
        <w:tc>
          <w:tcPr>
            <w:tcW w:w="1877"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购房补贴</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2,850.30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2,850.30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2,135.00</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2,135.00</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rPr>
                <w:rFonts w:cs="Calibri"/>
                <w:sz w:val="16"/>
                <w:szCs w:val="16"/>
              </w:rPr>
            </w:pPr>
            <w:r>
              <w:rPr>
                <w:rFonts w:cs="Calibri" w:hint="eastAsia"/>
                <w:sz w:val="16"/>
                <w:szCs w:val="16"/>
              </w:rPr>
              <w:t>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2,135.00</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xml:space="preserve">-715.30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-25.10%</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-715.30</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-25.10%</w:t>
            </w:r>
          </w:p>
        </w:tc>
      </w:tr>
      <w:tr>
        <w:trPr>
          <w:cantSplit/>
          <w:trHeight w:hRule="exact" w:val="338"/>
        </w:trPr>
        <w:tc>
          <w:tcPr>
            <w:tcW w:w="284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center"/>
              <w:rPr>
                <w:rFonts w:eastAsia="宋体" w:cs="宋体"/>
                <w:color w:val="000000"/>
                <w:kern w:val="0"/>
                <w:sz w:val="16"/>
                <w:szCs w:val="16"/>
              </w:rPr>
            </w:pPr>
            <w:r>
              <w:rPr>
                <w:rFonts w:cs="宋体" w:hint="eastAsia"/>
                <w:b/>
                <w:bCs/>
                <w:color w:val="000000"/>
                <w:kern w:val="0"/>
                <w:sz w:val="16"/>
                <w:szCs w:val="16"/>
              </w:rPr>
              <w:t>合      计</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 xml:space="preserve">31,237.05 </w:t>
            </w:r>
          </w:p>
        </w:tc>
        <w:tc>
          <w:tcPr>
            <w:tcW w:w="163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 xml:space="preserve">31,237.05 </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 xml:space="preserve">23,480.29 </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 xml:space="preserve">18,029.97 </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 xml:space="preserve">5,450.32 </w:t>
            </w:r>
          </w:p>
        </w:tc>
        <w:tc>
          <w:tcPr>
            <w:tcW w:w="1632"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 xml:space="preserve">23,480.29 </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 xml:space="preserve">-7,756.76 </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-24.83%</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-7,756.76</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-24.83%</w:t>
            </w:r>
          </w:p>
        </w:tc>
      </w:tr>
    </w:tbl>
    <w:p>
      <w:pPr>
        <w:pStyle w:val="22"/>
        <w:outlineLvl w:val="1"/>
        <w:sectPr>
          <w:pgSz w:w="16838" w:h="11906" w:orient="landscape"/>
          <w:pgMar w:top="1797" w:right="1440" w:bottom="1797" w:left="1440" w:header="851" w:footer="992" w:gutter="0"/>
          <w:docGrid w:type="linesAndChars" w:linePitch="435" w:charSpace="0"/>
        </w:sectPr>
      </w:pPr>
    </w:p>
    <w:p>
      <w:pPr>
        <w:pStyle w:val="22"/>
        <w:outlineLvl w:val="1"/>
      </w:pPr>
      <w:r>
        <w:rPr>
          <w:rFonts w:hint="eastAsia"/>
        </w:rPr>
        <w:t>六、一般公共预算基本支出表</w:t>
      </w:r>
    </w:p>
    <w:tbl>
      <w:tblPr>
        <w:jc w:val="center"/>
        <w:tblW w:w="1010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26"/>
        <w:gridCol w:w="3121"/>
        <w:gridCol w:w="2127"/>
        <w:gridCol w:w="1986"/>
        <w:gridCol w:w="1843"/>
      </w:tblGrid>
      <w:tr>
        <w:trPr>
          <w:trHeight w:val="270"/>
        </w:trPr>
        <w:tc>
          <w:tcPr>
            <w:tcW w:w="1026" w:type="dxa"/>
            <w:tcBorders>
              <w:top w:val="nil"/>
              <w:left w:val="nil"/>
              <w:bottom w:val="nil"/>
              <w:right w:val="nil"/>
            </w:tcBorders>
            <w:shd w:val="clear" w:color="auto" w:fill="auto"/>
            <w:noWrap/>
            <w:vAlign w:val="center"/>
          </w:tcPr>
          <w:p>
            <w:pPr>
              <w:widowControl/>
              <w:overflowPunct/>
              <w:spacing w:line="240" w:lineRule="auto"/>
              <w:ind w:firstLineChars="0" w:firstLine="480"/>
              <w:jc w:val="left"/>
              <w:rPr>
                <w:rFonts w:eastAsia="宋体" w:cs="宋体"/>
                <w:kern w:val="0"/>
                <w:sz w:val="24"/>
                <w:szCs w:val="24"/>
              </w:rPr>
            </w:pPr>
          </w:p>
        </w:tc>
        <w:tc>
          <w:tcPr>
            <w:tcW w:w="3121" w:type="dxa"/>
            <w:tcBorders>
              <w:top w:val="nil"/>
              <w:left w:val="nil"/>
              <w:bottom w:val="nil"/>
              <w:right w:val="nil"/>
            </w:tcBorders>
            <w:shd w:val="clear" w:color="auto" w:fill="auto"/>
            <w:noWrap/>
            <w:vAlign w:val="center"/>
          </w:tcPr>
          <w:p>
            <w:pPr>
              <w:widowControl/>
              <w:overflowPunct/>
              <w:spacing w:line="240" w:lineRule="auto"/>
              <w:ind w:firstLineChars="0" w:firstLine="400"/>
              <w:jc w:val="left"/>
              <w:rPr>
                <w:rFonts w:eastAsia="Times New Roman" w:cs="Times New Roman"/>
                <w:kern w:val="0"/>
                <w:sz w:val="20"/>
                <w:szCs w:val="20"/>
              </w:rPr>
            </w:pPr>
          </w:p>
        </w:tc>
        <w:tc>
          <w:tcPr>
            <w:tcW w:w="2127" w:type="dxa"/>
            <w:tcBorders>
              <w:top w:val="nil"/>
              <w:left w:val="nil"/>
              <w:bottom w:val="nil"/>
              <w:right w:val="nil"/>
            </w:tcBorders>
            <w:shd w:val="clear" w:color="auto" w:fill="auto"/>
            <w:noWrap/>
            <w:vAlign w:val="center"/>
          </w:tcPr>
          <w:p>
            <w:pPr>
              <w:widowControl/>
              <w:overflowPunct/>
              <w:spacing w:line="240" w:lineRule="auto"/>
              <w:ind w:firstLineChars="0" w:firstLine="400"/>
              <w:jc w:val="left"/>
              <w:rPr>
                <w:rFonts w:eastAsia="Times New Roman" w:cs="Times New Roman"/>
                <w:kern w:val="0"/>
                <w:sz w:val="20"/>
                <w:szCs w:val="20"/>
              </w:rPr>
            </w:pPr>
          </w:p>
        </w:tc>
        <w:tc>
          <w:tcPr>
            <w:tcW w:w="1986" w:type="dxa"/>
            <w:tcBorders>
              <w:top w:val="nil"/>
              <w:left w:val="nil"/>
              <w:bottom w:val="nil"/>
              <w:right w:val="nil"/>
            </w:tcBorders>
            <w:shd w:val="clear" w:color="auto" w:fill="auto"/>
            <w:noWrap/>
            <w:vAlign w:val="center"/>
          </w:tcPr>
          <w:p>
            <w:pPr>
              <w:widowControl/>
              <w:overflowPunct/>
              <w:spacing w:line="240" w:lineRule="auto"/>
              <w:ind w:firstLineChars="0" w:firstLine="400"/>
              <w:jc w:val="center"/>
              <w:rPr>
                <w:rFonts w:eastAsia="Times New Roman" w:cs="Times New Roman"/>
                <w:kern w:val="0"/>
                <w:sz w:val="20"/>
                <w:szCs w:val="20"/>
              </w:rPr>
            </w:pPr>
          </w:p>
        </w:tc>
        <w:tc>
          <w:tcPr>
            <w:tcW w:w="1843" w:type="dxa"/>
            <w:tcBorders>
              <w:top w:val="nil"/>
              <w:left w:val="nil"/>
              <w:bottom w:val="nil"/>
              <w:right w:val="nil"/>
            </w:tcBorders>
            <w:shd w:val="clear" w:color="auto" w:fill="auto"/>
            <w:noWrap/>
            <w:vAlign w:val="center"/>
          </w:tcPr>
          <w:p>
            <w:pPr>
              <w:widowControl/>
              <w:overflowPunct/>
              <w:spacing w:line="240" w:lineRule="auto"/>
              <w:ind w:firstLineChars="0" w:firstLine="400"/>
              <w:jc w:val="right"/>
              <w:rPr>
                <w:rFonts w:eastAsia="黑体" w:cs="宋体"/>
                <w:color w:val="000000"/>
                <w:kern w:val="0"/>
                <w:sz w:val="20"/>
                <w:szCs w:val="20"/>
              </w:rPr>
            </w:pPr>
            <w:r>
              <w:rPr>
                <w:rFonts w:eastAsia="黑体" w:cs="宋体" w:hint="eastAsia"/>
                <w:color w:val="000000"/>
                <w:kern w:val="0"/>
                <w:sz w:val="20"/>
                <w:szCs w:val="20"/>
              </w:rPr>
              <w:t>部门公开表6</w:t>
            </w:r>
          </w:p>
        </w:tc>
      </w:tr>
      <w:tr>
        <w:trPr>
          <w:trHeight w:val="578"/>
        </w:trPr>
        <w:tc>
          <w:tcPr>
            <w:tcW w:w="10103" w:type="dxa"/>
            <w:gridSpan w:val="5"/>
            <w:tcBorders>
              <w:top w:val="nil"/>
              <w:left w:val="nil"/>
              <w:bottom w:val="nil"/>
              <w:right w:val="nil"/>
            </w:tcBorders>
            <w:shd w:val="clear" w:color="auto" w:fill="auto"/>
            <w:noWrap/>
            <w:vAlign w:val="center"/>
          </w:tcPr>
          <w:p>
            <w:pPr>
              <w:widowControl/>
              <w:overflowPunct/>
              <w:spacing w:line="240" w:lineRule="auto"/>
              <w:ind w:firstLineChars="0" w:firstLine="720"/>
              <w:jc w:val="center"/>
              <w:rPr>
                <w:rFonts w:eastAsia="宋体" w:cs="宋体"/>
                <w:kern w:val="0"/>
                <w:sz w:val="36"/>
                <w:szCs w:val="36"/>
              </w:rPr>
            </w:pPr>
            <w:r>
              <w:rPr>
                <w:rFonts w:eastAsia="宋体" w:cs="宋体" w:hint="eastAsia"/>
                <w:kern w:val="0"/>
                <w:sz w:val="36"/>
                <w:szCs w:val="36"/>
              </w:rPr>
              <w:t>一般公共预算基本支出表</w:t>
            </w:r>
          </w:p>
        </w:tc>
      </w:tr>
      <w:tr>
        <w:trPr>
          <w:trHeight w:val="360"/>
        </w:trPr>
        <w:tc>
          <w:tcPr>
            <w:tcW w:w="1026" w:type="dxa"/>
            <w:tcBorders>
              <w:top w:val="nil"/>
              <w:left w:val="nil"/>
              <w:bottom w:val="nil"/>
              <w:right w:val="nil"/>
            </w:tcBorders>
            <w:shd w:val="clear" w:color="auto" w:fill="auto"/>
            <w:noWrap/>
            <w:vAlign w:val="center"/>
          </w:tcPr>
          <w:p>
            <w:pPr>
              <w:widowControl/>
              <w:overflowPunct/>
              <w:spacing w:line="240" w:lineRule="auto"/>
              <w:ind w:firstLineChars="0" w:firstLine="640"/>
              <w:jc w:val="center"/>
              <w:rPr>
                <w:rFonts w:eastAsia="宋体" w:cs="宋体"/>
                <w:kern w:val="0"/>
                <w:sz w:val="21"/>
                <w:szCs w:val="36"/>
              </w:rPr>
            </w:pPr>
          </w:p>
        </w:tc>
        <w:tc>
          <w:tcPr>
            <w:tcW w:w="3121"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　</w:t>
            </w:r>
          </w:p>
        </w:tc>
        <w:tc>
          <w:tcPr>
            <w:tcW w:w="2127"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360"/>
              <w:jc w:val="center"/>
              <w:rPr>
                <w:rFonts w:eastAsia="宋体" w:cs="Times New Roman"/>
                <w:kern w:val="0"/>
                <w:sz w:val="18"/>
                <w:szCs w:val="18"/>
              </w:rPr>
            </w:pPr>
            <w:r>
              <w:rPr>
                <w:rFonts w:eastAsia="宋体" w:cs="Times New Roman"/>
                <w:kern w:val="0"/>
                <w:sz w:val="18"/>
                <w:szCs w:val="18"/>
              </w:rPr>
              <w:t>　</w:t>
            </w:r>
          </w:p>
        </w:tc>
        <w:tc>
          <w:tcPr>
            <w:tcW w:w="1986"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360"/>
              <w:jc w:val="center"/>
              <w:rPr>
                <w:rFonts w:eastAsia="宋体" w:cs="Times New Roman"/>
                <w:kern w:val="0"/>
                <w:sz w:val="18"/>
                <w:szCs w:val="18"/>
              </w:rPr>
            </w:pPr>
            <w:r>
              <w:rPr>
                <w:rFonts w:eastAsia="宋体" w:cs="Times New Roman"/>
                <w:kern w:val="0"/>
                <w:sz w:val="18"/>
                <w:szCs w:val="18"/>
              </w:rPr>
              <w:t>　</w:t>
            </w:r>
          </w:p>
        </w:tc>
        <w:tc>
          <w:tcPr>
            <w:tcW w:w="1843" w:type="dxa"/>
            <w:tcBorders>
              <w:top w:val="nil"/>
              <w:left w:val="nil"/>
              <w:bottom w:val="nil"/>
              <w:right w:val="nil"/>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eastAsia="宋体" w:cs="Times New Roman" w:hint="eastAsia"/>
                <w:kern w:val="0"/>
                <w:sz w:val="18"/>
                <w:szCs w:val="18"/>
              </w:rPr>
              <w:t>单位：万元</w:t>
            </w:r>
          </w:p>
        </w:tc>
      </w:tr>
      <w:tr>
        <w:trPr>
          <w:trHeight w:val="360"/>
        </w:trPr>
        <w:tc>
          <w:tcPr>
            <w:tcW w:w="414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宋体"/>
                <w:kern w:val="0"/>
                <w:sz w:val="18"/>
                <w:szCs w:val="18"/>
              </w:rPr>
            </w:pPr>
            <w:r>
              <w:rPr>
                <w:rFonts w:eastAsia="宋体" w:cs="宋体" w:hint="eastAsia"/>
                <w:kern w:val="0"/>
                <w:sz w:val="18"/>
                <w:szCs w:val="18"/>
              </w:rPr>
              <w:t>部门预算支出经济分类科目</w:t>
            </w:r>
          </w:p>
        </w:tc>
        <w:tc>
          <w:tcPr>
            <w:tcW w:w="5956" w:type="dxa"/>
            <w:gridSpan w:val="3"/>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Times New Roman"/>
                <w:kern w:val="0"/>
                <w:sz w:val="18"/>
                <w:szCs w:val="18"/>
              </w:rPr>
            </w:pPr>
            <w:r>
              <w:rPr>
                <w:rFonts w:eastAsia="宋体" w:cs="Times New Roman" w:hint="eastAsia"/>
                <w:kern w:val="0"/>
                <w:sz w:val="18"/>
                <w:szCs w:val="18"/>
              </w:rPr>
              <w:t>本年一般公共预算基本支出</w:t>
            </w:r>
          </w:p>
        </w:tc>
      </w:tr>
      <w:tr>
        <w:trPr>
          <w:trHeight w:val="36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宋体"/>
                <w:kern w:val="0"/>
                <w:sz w:val="18"/>
                <w:szCs w:val="18"/>
              </w:rPr>
            </w:pPr>
            <w:r>
              <w:rPr>
                <w:rFonts w:eastAsia="宋体" w:cs="宋体" w:hint="eastAsia"/>
                <w:kern w:val="0"/>
                <w:sz w:val="18"/>
                <w:szCs w:val="18"/>
              </w:rPr>
              <w:t>科目代码</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宋体"/>
                <w:kern w:val="0"/>
                <w:sz w:val="18"/>
                <w:szCs w:val="18"/>
              </w:rPr>
            </w:pPr>
            <w:r>
              <w:rPr>
                <w:rFonts w:eastAsia="宋体" w:cs="宋体" w:hint="eastAsia"/>
                <w:kern w:val="0"/>
                <w:sz w:val="18"/>
                <w:szCs w:val="18"/>
              </w:rPr>
              <w:t>科目名称</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Times New Roman"/>
                <w:kern w:val="0"/>
                <w:sz w:val="18"/>
                <w:szCs w:val="18"/>
              </w:rPr>
            </w:pPr>
            <w:r>
              <w:rPr>
                <w:rFonts w:eastAsia="宋体" w:cs="Times New Roman" w:hint="eastAsia"/>
                <w:kern w:val="0"/>
                <w:sz w:val="18"/>
                <w:szCs w:val="18"/>
              </w:rPr>
              <w:t>合计</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Times New Roman"/>
                <w:kern w:val="0"/>
                <w:sz w:val="18"/>
                <w:szCs w:val="18"/>
              </w:rPr>
            </w:pPr>
            <w:r>
              <w:rPr>
                <w:rFonts w:eastAsia="宋体" w:cs="Times New Roman" w:hint="eastAsia"/>
                <w:kern w:val="0"/>
                <w:sz w:val="18"/>
                <w:szCs w:val="18"/>
              </w:rPr>
              <w:t>人员经费</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Times New Roman"/>
                <w:kern w:val="0"/>
                <w:sz w:val="18"/>
                <w:szCs w:val="18"/>
              </w:rPr>
            </w:pPr>
            <w:r>
              <w:rPr>
                <w:rFonts w:eastAsia="宋体" w:cs="Times New Roman" w:hint="eastAsia"/>
                <w:kern w:val="0"/>
                <w:sz w:val="18"/>
                <w:szCs w:val="18"/>
              </w:rPr>
              <w:t>公用经费</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1"/>
              <w:jc w:val="center"/>
              <w:rPr>
                <w:rFonts w:eastAsia="宋体" w:cs="宋体"/>
                <w:b/>
                <w:bCs/>
                <w:kern w:val="0"/>
                <w:sz w:val="18"/>
                <w:szCs w:val="18"/>
              </w:rPr>
            </w:pP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center"/>
              <w:rPr>
                <w:rFonts w:eastAsia="宋体" w:cs="宋体"/>
                <w:b/>
                <w:bCs/>
                <w:kern w:val="0"/>
                <w:sz w:val="18"/>
                <w:szCs w:val="18"/>
              </w:rPr>
            </w:pPr>
            <w:r>
              <w:rPr>
                <w:rFonts w:eastAsia="宋体" w:cs="宋体" w:hint="eastAsia"/>
                <w:b/>
                <w:bCs/>
                <w:kern w:val="0"/>
                <w:sz w:val="18"/>
                <w:szCs w:val="18"/>
              </w:rPr>
              <w:t>中华人民共和国大连海关</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eastAsia="宋体" w:cs="Times New Roman" w:hint="eastAsia"/>
                <w:b/>
                <w:bCs/>
                <w:kern w:val="0"/>
                <w:sz w:val="18"/>
                <w:szCs w:val="18"/>
              </w:rPr>
              <w:t>18,029.97</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sz w:val="16"/>
                <w:szCs w:val="16"/>
              </w:rPr>
              <w:t>13,881.07</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eastAsia="宋体" w:cs="Times New Roman" w:hint="eastAsia"/>
                <w:b/>
                <w:bCs/>
                <w:kern w:val="0"/>
                <w:sz w:val="18"/>
                <w:szCs w:val="18"/>
              </w:rPr>
              <w:t>4,148.90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301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工资福利支出</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color w:val="000000"/>
                <w:sz w:val="16"/>
                <w:szCs w:val="16"/>
              </w:rPr>
              <w:t>13,147.22</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color w:val="000000"/>
                <w:sz w:val="16"/>
                <w:szCs w:val="16"/>
              </w:rPr>
              <w:t>13,147.22</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30101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基本工资</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2,764.35</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2,764.35</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30102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津贴补贴</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5,988.63</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5,988.63</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30103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奖金</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296.2</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296.2</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30106</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伙食补助费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30107</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绩效工资</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30108</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机关事业单位基本养老保险缴费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1,119.03</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1,119.03</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30109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职业年金缴费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553.29</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553.29</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30110</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职工基本医疗保险缴费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718.76</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718.76</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30111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公务员医疗补助缴费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447.37</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447.37</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30112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其他社会保障缴费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31.61</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31.61</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30113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住房公积金</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1,187.26</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1,187.26</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30114</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医疗费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30199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其他工资福利支出</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40.72</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40.72</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302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商品和服务支出</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color w:val="000000"/>
                <w:sz w:val="16"/>
                <w:szCs w:val="16"/>
              </w:rPr>
              <w:t>3,925.1</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color w:val="000000"/>
                <w:sz w:val="16"/>
                <w:szCs w:val="16"/>
              </w:rPr>
              <w:t>3,925.1</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30201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办公费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77.73</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77.73</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30202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印刷费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30.50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30.50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30203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咨询费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1.00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30204</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手续费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30205</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水费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22.00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22.00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30206</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电费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410.00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410.00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30207</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邮电费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135.26</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135.26</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30208</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取暖费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210.57</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210.57</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30209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物业管理费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390.58</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390.58</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30211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差旅费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175.00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175.00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30212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因公出国（境）费用</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30213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维修（护）费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353.76</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353.76</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30214</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租赁费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40.00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40.00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30215</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会议费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9.00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9.00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30216</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培训费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33.20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33.20</w:t>
            </w:r>
          </w:p>
        </w:tc>
      </w:tr>
      <w:tr>
        <w:trPr>
          <w:trHeight w:val="360"/>
        </w:trPr>
        <w:tc>
          <w:tcPr>
            <w:tcW w:w="414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宋体"/>
                <w:kern w:val="0"/>
                <w:sz w:val="18"/>
                <w:szCs w:val="18"/>
              </w:rPr>
            </w:pPr>
            <w:r>
              <w:rPr>
                <w:rFonts w:eastAsia="宋体" w:cs="宋体" w:hint="eastAsia"/>
                <w:kern w:val="0"/>
                <w:sz w:val="18"/>
                <w:szCs w:val="18"/>
              </w:rPr>
              <w:t>部门预算支出经济分类科目</w:t>
            </w:r>
          </w:p>
        </w:tc>
        <w:tc>
          <w:tcPr>
            <w:tcW w:w="5956" w:type="dxa"/>
            <w:gridSpan w:val="3"/>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Times New Roman"/>
                <w:kern w:val="0"/>
                <w:sz w:val="18"/>
                <w:szCs w:val="18"/>
              </w:rPr>
            </w:pPr>
            <w:r>
              <w:rPr>
                <w:rFonts w:eastAsia="宋体" w:cs="Times New Roman" w:hint="eastAsia"/>
                <w:kern w:val="0"/>
                <w:sz w:val="18"/>
                <w:szCs w:val="18"/>
              </w:rPr>
              <w:t>本年一般公共预算基本支出</w:t>
            </w:r>
          </w:p>
        </w:tc>
      </w:tr>
      <w:tr>
        <w:trPr>
          <w:trHeight w:val="36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宋体"/>
                <w:kern w:val="0"/>
                <w:sz w:val="18"/>
                <w:szCs w:val="18"/>
              </w:rPr>
            </w:pPr>
            <w:r>
              <w:rPr>
                <w:rFonts w:eastAsia="宋体" w:cs="宋体" w:hint="eastAsia"/>
                <w:kern w:val="0"/>
                <w:sz w:val="18"/>
                <w:szCs w:val="18"/>
              </w:rPr>
              <w:t>科目代码</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宋体"/>
                <w:kern w:val="0"/>
                <w:sz w:val="18"/>
                <w:szCs w:val="18"/>
              </w:rPr>
            </w:pPr>
            <w:r>
              <w:rPr>
                <w:rFonts w:eastAsia="宋体" w:cs="宋体" w:hint="eastAsia"/>
                <w:kern w:val="0"/>
                <w:sz w:val="18"/>
                <w:szCs w:val="18"/>
              </w:rPr>
              <w:t>科目名称</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Times New Roman"/>
                <w:kern w:val="0"/>
                <w:sz w:val="18"/>
                <w:szCs w:val="18"/>
              </w:rPr>
            </w:pPr>
            <w:r>
              <w:rPr>
                <w:rFonts w:eastAsia="宋体" w:cs="Times New Roman" w:hint="eastAsia"/>
                <w:kern w:val="0"/>
                <w:sz w:val="18"/>
                <w:szCs w:val="18"/>
              </w:rPr>
              <w:t>合计</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Times New Roman"/>
                <w:kern w:val="0"/>
                <w:sz w:val="18"/>
                <w:szCs w:val="18"/>
              </w:rPr>
            </w:pPr>
            <w:r>
              <w:rPr>
                <w:rFonts w:eastAsia="宋体" w:cs="Times New Roman" w:hint="eastAsia"/>
                <w:kern w:val="0"/>
                <w:sz w:val="18"/>
                <w:szCs w:val="18"/>
              </w:rPr>
              <w:t>人员经费</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center"/>
              <w:rPr>
                <w:rFonts w:eastAsia="宋体" w:cs="Times New Roman"/>
                <w:kern w:val="0"/>
                <w:sz w:val="18"/>
                <w:szCs w:val="18"/>
              </w:rPr>
            </w:pPr>
            <w:r>
              <w:rPr>
                <w:rFonts w:eastAsia="宋体" w:cs="Times New Roman" w:hint="eastAsia"/>
                <w:kern w:val="0"/>
                <w:sz w:val="18"/>
                <w:szCs w:val="18"/>
              </w:rPr>
              <w:t>公用经费</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30217</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公务接待费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22.50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22.50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30218</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专用材料费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30224</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被装购置费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41.00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41.00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30225</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专用燃料费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30226</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劳务费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30.00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30.00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30227</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委托业务费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80.34</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80.34</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30228</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工会经费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223.95</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223.95</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30229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福利费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407.00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407.00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30231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公务用车运行维护费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276.13</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276.13</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30239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其他交通费用</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753.18</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753.18</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30240</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税金及附加费用</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30299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其他商品和服务支出</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202.40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202.40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303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对个人和家庭的补助</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color w:val="000000"/>
                <w:sz w:val="16"/>
                <w:szCs w:val="16"/>
              </w:rPr>
              <w:t>733.85</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color w:val="000000"/>
                <w:sz w:val="16"/>
                <w:szCs w:val="16"/>
              </w:rPr>
              <w:t>733.85</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30301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离休费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138.00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138.00</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30302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退休费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98.38</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98.38</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30303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退职（役）费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30304</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抚恤金</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450.00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450.00</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30305</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生活补助</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13.35</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13.35</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30307</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医疗费补助</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23.00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23.00</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30308</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助学金</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30309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奖励金</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11.12</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11.12</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30311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代缴社会保险费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30399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其他对个人和家庭的补助</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310</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资本性支出</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color w:val="000000"/>
                <w:sz w:val="16"/>
                <w:szCs w:val="16"/>
              </w:rPr>
              <w:t>223.8</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color w:val="000000"/>
                <w:sz w:val="16"/>
                <w:szCs w:val="16"/>
              </w:rPr>
              <w:t>223.8</w:t>
            </w:r>
          </w:p>
        </w:tc>
      </w:tr>
      <w:tr>
        <w:trPr>
          <w:trHeight w:val="365"/>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31001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房屋建筑物购建</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31002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办公设备购置</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191.80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191.80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31003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专用设备购置</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10.00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10.00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31006</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大型修缮</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31007</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信息网络及软件购置更新</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22.00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22.00</w:t>
            </w: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31013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公务用车购置</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31019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其他交通工具购置</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31021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文物和陈列品购置</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31022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无形资产购置</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2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31099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其他资本性支出</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4147" w:type="dxa"/>
            <w:gridSpan w:val="2"/>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1"/>
              <w:jc w:val="center"/>
              <w:rPr>
                <w:rFonts w:eastAsia="宋体" w:cs="宋体"/>
                <w:b/>
                <w:bCs/>
                <w:kern w:val="0"/>
                <w:sz w:val="18"/>
                <w:szCs w:val="18"/>
              </w:rPr>
            </w:pPr>
            <w:r>
              <w:rPr>
                <w:rFonts w:eastAsia="宋体" w:cs="宋体" w:hint="eastAsia"/>
                <w:b/>
                <w:bCs/>
                <w:kern w:val="0"/>
                <w:sz w:val="18"/>
                <w:szCs w:val="18"/>
              </w:rPr>
              <w:t>合  计</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eastAsia="宋体" w:cs="Times New Roman" w:hint="eastAsia"/>
                <w:b/>
                <w:bCs/>
                <w:kern w:val="0"/>
                <w:sz w:val="18"/>
                <w:szCs w:val="18"/>
              </w:rPr>
              <w:t>18,029.97</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eastAsia="宋体" w:cs="Times New Roman" w:hint="eastAsia"/>
                <w:b/>
                <w:bCs/>
                <w:kern w:val="0"/>
                <w:sz w:val="18"/>
                <w:szCs w:val="18"/>
              </w:rPr>
              <w:t>13,881.07</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eastAsia="宋体" w:cs="Times New Roman" w:hint="eastAsia"/>
                <w:b/>
                <w:bCs/>
                <w:kern w:val="0"/>
                <w:sz w:val="18"/>
                <w:szCs w:val="18"/>
              </w:rPr>
              <w:t>4,148.90</w:t>
            </w:r>
          </w:p>
        </w:tc>
      </w:tr>
    </w:tbl>
    <w:p>
      <w:pPr>
        <w:widowControl/>
        <w:overflowPunct/>
        <w:spacing w:line="240" w:lineRule="auto"/>
        <w:ind w:firstLineChars="0" w:firstLine="0"/>
        <w:jc w:val="left"/>
      </w:pPr>
      <w:r>
        <w:br w:type="page"/>
      </w:r>
    </w:p>
    <w:p>
      <w:pPr>
        <w:pStyle w:val="22"/>
        <w:outlineLvl w:val="1"/>
        <w:sectPr>
          <w:pgSz w:w="11906" w:h="16838"/>
          <w:pgMar w:top="1440" w:right="1797" w:bottom="1440" w:left="1797" w:header="851" w:footer="992" w:gutter="0"/>
          <w:docGrid w:type="lines" w:linePitch="435" w:charSpace="0"/>
        </w:sectPr>
      </w:pPr>
    </w:p>
    <w:p>
      <w:pPr>
        <w:pStyle w:val="22"/>
        <w:outlineLvl w:val="1"/>
      </w:pPr>
      <w:r>
        <w:rPr>
          <w:rFonts w:hint="eastAsia"/>
        </w:rPr>
        <w:t>七、政府性基金预算支出表</w:t>
      </w: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977"/>
        <w:gridCol w:w="3402"/>
        <w:gridCol w:w="2552"/>
        <w:gridCol w:w="2551"/>
        <w:gridCol w:w="2410"/>
      </w:tblGrid>
      <w:tr>
        <w:trPr>
          <w:trHeight w:val="315"/>
        </w:trPr>
        <w:tc>
          <w:tcPr>
            <w:tcW w:w="2977" w:type="dxa"/>
            <w:tcBorders>
              <w:top w:val="nil"/>
              <w:left w:val="nil"/>
              <w:bottom w:val="nil"/>
              <w:right w:val="nil"/>
            </w:tcBorders>
            <w:shd w:val="clear" w:color="auto" w:fill="auto"/>
            <w:vAlign w:val="center"/>
          </w:tcPr>
          <w:p>
            <w:pPr>
              <w:widowControl/>
              <w:overflowPunct/>
              <w:spacing w:line="240" w:lineRule="auto"/>
              <w:ind w:firstLineChars="0" w:firstLine="480"/>
              <w:jc w:val="left"/>
              <w:rPr>
                <w:rFonts w:eastAsia="宋体" w:cs="宋体"/>
                <w:kern w:val="0"/>
                <w:sz w:val="24"/>
                <w:szCs w:val="24"/>
              </w:rPr>
            </w:pPr>
          </w:p>
        </w:tc>
        <w:tc>
          <w:tcPr>
            <w:tcW w:w="3402" w:type="dxa"/>
            <w:tcBorders>
              <w:top w:val="nil"/>
              <w:left w:val="nil"/>
              <w:bottom w:val="nil"/>
              <w:right w:val="nil"/>
            </w:tcBorders>
            <w:shd w:val="clear" w:color="auto" w:fill="auto"/>
            <w:vAlign w:val="center"/>
          </w:tcPr>
          <w:p>
            <w:pPr>
              <w:widowControl/>
              <w:overflowPunct/>
              <w:spacing w:line="240" w:lineRule="auto"/>
              <w:ind w:firstLineChars="0" w:firstLine="400"/>
              <w:jc w:val="left"/>
              <w:rPr>
                <w:rFonts w:eastAsia="Times New Roman" w:cs="Times New Roman"/>
                <w:kern w:val="0"/>
                <w:sz w:val="20"/>
                <w:szCs w:val="20"/>
              </w:rPr>
            </w:pPr>
          </w:p>
        </w:tc>
        <w:tc>
          <w:tcPr>
            <w:tcW w:w="2552" w:type="dxa"/>
            <w:tcBorders>
              <w:top w:val="nil"/>
              <w:left w:val="nil"/>
              <w:bottom w:val="nil"/>
              <w:right w:val="nil"/>
            </w:tcBorders>
            <w:shd w:val="clear" w:color="auto" w:fill="auto"/>
            <w:vAlign w:val="center"/>
          </w:tcPr>
          <w:p>
            <w:pPr>
              <w:widowControl/>
              <w:overflowPunct/>
              <w:spacing w:line="240" w:lineRule="auto"/>
              <w:ind w:firstLineChars="0" w:firstLine="400"/>
              <w:jc w:val="left"/>
              <w:rPr>
                <w:rFonts w:eastAsia="Times New Roman" w:cs="Times New Roman"/>
                <w:kern w:val="0"/>
                <w:sz w:val="20"/>
                <w:szCs w:val="20"/>
              </w:rPr>
            </w:pPr>
          </w:p>
        </w:tc>
        <w:tc>
          <w:tcPr>
            <w:tcW w:w="2551" w:type="dxa"/>
            <w:tcBorders>
              <w:top w:val="nil"/>
              <w:left w:val="nil"/>
              <w:bottom w:val="nil"/>
              <w:right w:val="nil"/>
            </w:tcBorders>
            <w:shd w:val="clear" w:color="auto" w:fill="auto"/>
            <w:vAlign w:val="center"/>
          </w:tcPr>
          <w:p>
            <w:pPr>
              <w:widowControl/>
              <w:overflowPunct/>
              <w:spacing w:line="240" w:lineRule="auto"/>
              <w:ind w:firstLineChars="0" w:firstLine="400"/>
              <w:jc w:val="left"/>
              <w:rPr>
                <w:rFonts w:eastAsia="Times New Roman" w:cs="Times New Roman"/>
                <w:kern w:val="0"/>
                <w:sz w:val="20"/>
                <w:szCs w:val="20"/>
              </w:rPr>
            </w:pPr>
          </w:p>
        </w:tc>
        <w:tc>
          <w:tcPr>
            <w:tcW w:w="2410" w:type="dxa"/>
            <w:tcBorders>
              <w:top w:val="nil"/>
              <w:left w:val="nil"/>
              <w:bottom w:val="nil"/>
              <w:right w:val="nil"/>
            </w:tcBorders>
            <w:shd w:val="clear" w:color="auto" w:fill="auto"/>
            <w:noWrap/>
            <w:vAlign w:val="center"/>
          </w:tcPr>
          <w:p>
            <w:pPr>
              <w:widowControl/>
              <w:overflowPunct/>
              <w:spacing w:line="240" w:lineRule="auto"/>
              <w:ind w:firstLineChars="0" w:firstLine="400"/>
              <w:jc w:val="right"/>
              <w:rPr>
                <w:rFonts w:eastAsia="黑体" w:cs="宋体"/>
                <w:kern w:val="0"/>
                <w:sz w:val="20"/>
                <w:szCs w:val="20"/>
              </w:rPr>
            </w:pPr>
            <w:r>
              <w:rPr>
                <w:rFonts w:eastAsia="黑体" w:cs="宋体" w:hint="eastAsia"/>
                <w:kern w:val="0"/>
                <w:sz w:val="20"/>
                <w:szCs w:val="20"/>
              </w:rPr>
              <w:t>部门公开表7</w:t>
            </w:r>
          </w:p>
        </w:tc>
      </w:tr>
      <w:tr>
        <w:trPr>
          <w:trHeight w:val="645"/>
        </w:trPr>
        <w:tc>
          <w:tcPr>
            <w:tcW w:w="13892" w:type="dxa"/>
            <w:gridSpan w:val="5"/>
            <w:tcBorders>
              <w:top w:val="nil"/>
              <w:left w:val="nil"/>
              <w:bottom w:val="nil"/>
              <w:right w:val="nil"/>
            </w:tcBorders>
            <w:shd w:val="clear" w:color="auto" w:fill="auto"/>
            <w:vAlign w:val="center"/>
          </w:tcPr>
          <w:p>
            <w:pPr>
              <w:widowControl/>
              <w:overflowPunct/>
              <w:spacing w:line="240" w:lineRule="auto"/>
              <w:ind w:firstLineChars="0" w:firstLine="720"/>
              <w:jc w:val="center"/>
              <w:rPr>
                <w:rFonts w:eastAsia="宋体" w:cs="宋体"/>
                <w:kern w:val="0"/>
                <w:sz w:val="36"/>
                <w:szCs w:val="36"/>
              </w:rPr>
            </w:pPr>
            <w:r>
              <w:rPr>
                <w:rFonts w:eastAsia="宋体" w:cs="宋体" w:hint="eastAsia"/>
                <w:kern w:val="0"/>
                <w:sz w:val="36"/>
                <w:szCs w:val="36"/>
              </w:rPr>
              <w:t>政府性基金预算支出表</w:t>
            </w:r>
          </w:p>
        </w:tc>
      </w:tr>
      <w:tr>
        <w:trPr>
          <w:trHeight w:val="435"/>
        </w:trPr>
        <w:tc>
          <w:tcPr>
            <w:tcW w:w="2977" w:type="dxa"/>
            <w:tcBorders>
              <w:top w:val="nil"/>
              <w:left w:val="nil"/>
              <w:bottom w:val="nil"/>
              <w:right w:val="nil"/>
            </w:tcBorders>
            <w:shd w:val="clear" w:color="auto" w:fill="auto"/>
            <w:noWrap/>
            <w:vAlign w:val="center"/>
          </w:tcPr>
          <w:p>
            <w:pPr>
              <w:widowControl/>
              <w:overflowPunct/>
              <w:spacing w:line="240" w:lineRule="auto"/>
              <w:ind w:firstLineChars="0" w:firstLine="720"/>
              <w:jc w:val="center"/>
              <w:rPr>
                <w:rFonts w:eastAsia="宋体" w:cs="宋体"/>
                <w:kern w:val="0"/>
                <w:sz w:val="36"/>
                <w:szCs w:val="36"/>
              </w:rPr>
            </w:pPr>
          </w:p>
        </w:tc>
        <w:tc>
          <w:tcPr>
            <w:tcW w:w="3402" w:type="dxa"/>
            <w:tcBorders>
              <w:top w:val="nil"/>
              <w:left w:val="nil"/>
              <w:bottom w:val="single" w:sz="4" w:space="0" w:color="auto"/>
              <w:right w:val="nil"/>
            </w:tcBorders>
            <w:shd w:val="clear" w:color="auto" w:fill="auto"/>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2552" w:type="dxa"/>
            <w:tcBorders>
              <w:top w:val="nil"/>
              <w:left w:val="nil"/>
              <w:bottom w:val="single" w:sz="4" w:space="0" w:color="auto"/>
              <w:right w:val="nil"/>
            </w:tcBorders>
            <w:shd w:val="clear" w:color="auto" w:fill="auto"/>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2551" w:type="dxa"/>
            <w:tcBorders>
              <w:top w:val="nil"/>
              <w:left w:val="nil"/>
              <w:bottom w:val="single" w:sz="4" w:space="0" w:color="auto"/>
              <w:right w:val="nil"/>
            </w:tcBorders>
            <w:shd w:val="clear" w:color="auto" w:fill="auto"/>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241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单位：万元</w:t>
            </w:r>
          </w:p>
        </w:tc>
      </w:tr>
      <w:tr>
        <w:trPr>
          <w:trHeight w:hRule="exact" w:val="567"/>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400"/>
              <w:jc w:val="center"/>
              <w:rPr>
                <w:rFonts w:eastAsia="宋体" w:cs="宋体"/>
                <w:kern w:val="0"/>
                <w:sz w:val="20"/>
                <w:szCs w:val="20"/>
              </w:rPr>
            </w:pPr>
            <w:r>
              <w:rPr>
                <w:rFonts w:eastAsia="宋体" w:cs="宋体" w:hint="eastAsia"/>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400"/>
              <w:jc w:val="center"/>
              <w:rPr>
                <w:rFonts w:eastAsia="宋体" w:cs="宋体"/>
                <w:kern w:val="0"/>
                <w:sz w:val="20"/>
                <w:szCs w:val="20"/>
              </w:rPr>
            </w:pPr>
            <w:r>
              <w:rPr>
                <w:rFonts w:eastAsia="宋体" w:cs="宋体" w:hint="eastAsia"/>
                <w:kern w:val="0"/>
                <w:sz w:val="20"/>
                <w:szCs w:val="20"/>
              </w:rPr>
              <w:t>科目名称</w:t>
            </w:r>
          </w:p>
        </w:tc>
        <w:tc>
          <w:tcPr>
            <w:tcW w:w="7513" w:type="dxa"/>
            <w:gridSpan w:val="3"/>
            <w:tcBorders>
              <w:top w:val="single" w:sz="4" w:space="0" w:color="auto"/>
              <w:left w:val="nil"/>
              <w:bottom w:val="single" w:sz="4" w:space="0" w:color="auto"/>
              <w:right w:val="single" w:sz="4" w:space="0" w:color="000000"/>
            </w:tcBorders>
            <w:shd w:val="clear" w:color="auto" w:fill="auto"/>
            <w:vAlign w:val="center"/>
          </w:tcPr>
          <w:p>
            <w:pPr>
              <w:widowControl/>
              <w:overflowPunct/>
              <w:spacing w:line="240" w:lineRule="auto"/>
              <w:ind w:firstLineChars="0" w:firstLine="400"/>
              <w:jc w:val="center"/>
              <w:rPr>
                <w:rFonts w:eastAsia="宋体" w:cs="宋体"/>
                <w:kern w:val="0"/>
                <w:sz w:val="20"/>
                <w:szCs w:val="20"/>
              </w:rPr>
            </w:pPr>
            <w:r>
              <w:rPr>
                <w:rFonts w:eastAsia="宋体" w:cs="宋体" w:hint="eastAsia"/>
                <w:kern w:val="0"/>
                <w:sz w:val="20"/>
                <w:szCs w:val="20"/>
              </w:rPr>
              <w:t>2023年政府性基金预算支出</w:t>
            </w:r>
          </w:p>
        </w:tc>
      </w:tr>
      <w:tr>
        <w:trPr>
          <w:trHeight w:hRule="exact" w:val="567"/>
        </w:trPr>
        <w:tc>
          <w:tcPr>
            <w:tcW w:w="2977" w:type="dxa"/>
            <w:vMerge/>
            <w:tcBorders>
              <w:top w:val="single" w:sz="4" w:space="0" w:color="auto"/>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2" w:type="dxa"/>
            <w:tcBorders>
              <w:top w:val="nil"/>
              <w:left w:val="nil"/>
              <w:bottom w:val="nil"/>
              <w:right w:val="single" w:sz="4" w:space="0" w:color="auto"/>
            </w:tcBorders>
            <w:shd w:val="clear" w:color="auto" w:fill="auto"/>
            <w:vAlign w:val="center"/>
          </w:tcPr>
          <w:p>
            <w:pPr>
              <w:widowControl/>
              <w:overflowPunct/>
              <w:spacing w:line="240" w:lineRule="auto"/>
              <w:ind w:firstLineChars="0" w:firstLine="400"/>
              <w:jc w:val="center"/>
              <w:rPr>
                <w:rFonts w:eastAsia="宋体" w:cs="宋体"/>
                <w:kern w:val="0"/>
                <w:sz w:val="20"/>
                <w:szCs w:val="20"/>
              </w:rPr>
            </w:pPr>
            <w:r>
              <w:rPr>
                <w:rFonts w:eastAsia="宋体" w:cs="宋体" w:hint="eastAsia"/>
                <w:kern w:val="0"/>
                <w:sz w:val="20"/>
                <w:szCs w:val="20"/>
              </w:rPr>
              <w:t>合计</w:t>
            </w:r>
          </w:p>
        </w:tc>
        <w:tc>
          <w:tcPr>
            <w:tcW w:w="2551" w:type="dxa"/>
            <w:tcBorders>
              <w:top w:val="nil"/>
              <w:left w:val="nil"/>
              <w:bottom w:val="single" w:sz="4" w:space="0" w:color="auto"/>
              <w:right w:val="nil"/>
            </w:tcBorders>
            <w:shd w:val="clear" w:color="auto" w:fill="auto"/>
            <w:vAlign w:val="center"/>
          </w:tcPr>
          <w:p>
            <w:pPr>
              <w:widowControl/>
              <w:overflowPunct/>
              <w:spacing w:line="240" w:lineRule="auto"/>
              <w:ind w:firstLineChars="0" w:firstLine="400"/>
              <w:jc w:val="center"/>
              <w:rPr>
                <w:rFonts w:eastAsia="宋体" w:cs="宋体"/>
                <w:kern w:val="0"/>
                <w:sz w:val="20"/>
                <w:szCs w:val="20"/>
              </w:rPr>
            </w:pPr>
            <w:r>
              <w:rPr>
                <w:rFonts w:eastAsia="宋体" w:cs="宋体" w:hint="eastAsia"/>
                <w:kern w:val="0"/>
                <w:sz w:val="20"/>
                <w:szCs w:val="20"/>
              </w:rPr>
              <w:t>基本支出</w:t>
            </w:r>
          </w:p>
        </w:tc>
        <w:tc>
          <w:tcPr>
            <w:tcW w:w="2410" w:type="dxa"/>
            <w:tcBorders>
              <w:top w:val="nil"/>
              <w:left w:val="single" w:sz="4" w:space="0" w:color="auto"/>
              <w:bottom w:val="nil"/>
              <w:right w:val="single" w:sz="4" w:space="0" w:color="auto"/>
            </w:tcBorders>
            <w:shd w:val="clear" w:color="auto" w:fill="auto"/>
            <w:vAlign w:val="center"/>
          </w:tcPr>
          <w:p>
            <w:pPr>
              <w:widowControl/>
              <w:overflowPunct/>
              <w:spacing w:line="240" w:lineRule="auto"/>
              <w:ind w:firstLineChars="0" w:firstLine="400"/>
              <w:jc w:val="center"/>
              <w:rPr>
                <w:rFonts w:eastAsia="宋体" w:cs="宋体"/>
                <w:kern w:val="0"/>
                <w:sz w:val="20"/>
                <w:szCs w:val="20"/>
              </w:rPr>
            </w:pPr>
            <w:r>
              <w:rPr>
                <w:rFonts w:eastAsia="宋体" w:cs="宋体" w:hint="eastAsia"/>
                <w:kern w:val="0"/>
                <w:sz w:val="20"/>
                <w:szCs w:val="20"/>
              </w:rPr>
              <w:t>项目支出</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2552"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410"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center"/>
              <w:rPr>
                <w:rFonts w:eastAsia="宋体" w:cs="宋体"/>
                <w:kern w:val="0"/>
                <w:sz w:val="20"/>
                <w:szCs w:val="20"/>
              </w:rPr>
            </w:pPr>
            <w:r>
              <w:rPr>
                <w:rFonts w:eastAsia="宋体" w:cs="宋体"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center"/>
              <w:rPr>
                <w:rFonts w:eastAsia="宋体" w:cs="宋体"/>
                <w:kern w:val="0"/>
                <w:sz w:val="20"/>
                <w:szCs w:val="20"/>
              </w:rPr>
            </w:pPr>
            <w:r>
              <w:rPr>
                <w:rFonts w:eastAsia="宋体" w:cs="宋体"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r>
      <w:tr>
        <w:trPr>
          <w:trHeight w:hRule="exact" w:val="567"/>
        </w:trPr>
        <w:tc>
          <w:tcPr>
            <w:tcW w:w="637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overflowPunct/>
              <w:spacing w:line="240" w:lineRule="auto"/>
              <w:ind w:firstLineChars="0" w:firstLine="400"/>
              <w:jc w:val="center"/>
              <w:rPr>
                <w:rFonts w:eastAsia="宋体" w:cs="宋体"/>
                <w:kern w:val="0"/>
                <w:sz w:val="20"/>
                <w:szCs w:val="20"/>
              </w:rPr>
            </w:pPr>
            <w:r>
              <w:rPr>
                <w:rFonts w:eastAsia="宋体" w:cs="宋体" w:hint="eastAsia"/>
                <w:kern w:val="0"/>
                <w:sz w:val="20"/>
                <w:szCs w:val="20"/>
              </w:rPr>
              <w:t>合  计</w:t>
            </w:r>
          </w:p>
        </w:tc>
        <w:tc>
          <w:tcPr>
            <w:tcW w:w="255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　</w:t>
            </w:r>
          </w:p>
        </w:tc>
      </w:tr>
    </w:tbl>
    <w:p>
      <w:pPr>
        <w:overflowPunct/>
        <w:spacing w:line="240" w:lineRule="auto"/>
        <w:ind w:firstLineChars="0" w:firstLine="0"/>
        <w:rPr>
          <w:rFonts w:cs="Times New Roman"/>
          <w:sz w:val="24"/>
          <w:szCs w:val="24"/>
        </w:rPr>
      </w:pPr>
      <w:r>
        <w:rPr>
          <w:rFonts w:cs="Times New Roman" w:hint="eastAsia"/>
          <w:sz w:val="24"/>
          <w:szCs w:val="24"/>
        </w:rPr>
        <w:t>注：大连海关无政府性基金预算拨款收入，也无使用政府性基金安排的支出，故本表无数据。</w:t>
      </w:r>
      <w:r>
        <w:rPr>
          <w:rFonts w:cs="Times New Roman"/>
          <w:sz w:val="24"/>
          <w:szCs w:val="24"/>
        </w:rPr>
        <w:br w:type="page"/>
      </w:r>
    </w:p>
    <w:p>
      <w:pPr>
        <w:pStyle w:val="22"/>
        <w:outlineLvl w:val="1"/>
      </w:pPr>
      <w:r>
        <w:rPr>
          <w:rFonts w:hint="eastAsia"/>
        </w:rPr>
        <w:t>八、国有资本经营预算支出表</w:t>
      </w:r>
    </w:p>
    <w:tbl>
      <w:tblPr>
        <w:jc w:val="center"/>
        <w:tblW w:w="140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119"/>
        <w:gridCol w:w="3402"/>
        <w:gridCol w:w="2551"/>
        <w:gridCol w:w="2410"/>
        <w:gridCol w:w="2598"/>
      </w:tblGrid>
      <w:tr>
        <w:trPr>
          <w:trHeight w:val="285"/>
        </w:trPr>
        <w:tc>
          <w:tcPr>
            <w:tcW w:w="3119"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宋体" w:cs="宋体"/>
                <w:kern w:val="0"/>
                <w:sz w:val="24"/>
                <w:szCs w:val="24"/>
              </w:rPr>
            </w:pPr>
          </w:p>
        </w:tc>
        <w:tc>
          <w:tcPr>
            <w:tcW w:w="3402"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2551"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2410"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2598"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黑体" w:cs="宋体"/>
                <w:kern w:val="0"/>
                <w:sz w:val="20"/>
                <w:szCs w:val="20"/>
              </w:rPr>
            </w:pPr>
            <w:r>
              <w:rPr>
                <w:rFonts w:eastAsia="黑体" w:cs="宋体" w:hint="eastAsia"/>
                <w:kern w:val="0"/>
                <w:sz w:val="20"/>
                <w:szCs w:val="20"/>
              </w:rPr>
              <w:t>部门公开表8</w:t>
            </w:r>
          </w:p>
        </w:tc>
      </w:tr>
      <w:tr>
        <w:trPr>
          <w:trHeight w:val="450"/>
        </w:trPr>
        <w:tc>
          <w:tcPr>
            <w:tcW w:w="14080" w:type="dxa"/>
            <w:gridSpan w:val="5"/>
            <w:tcBorders>
              <w:top w:val="nil"/>
              <w:left w:val="nil"/>
              <w:bottom w:val="nil"/>
              <w:right w:val="nil"/>
            </w:tcBorders>
            <w:shd w:val="clear" w:color="auto" w:fill="auto"/>
            <w:vAlign w:val="center"/>
          </w:tcPr>
          <w:p>
            <w:pPr>
              <w:widowControl/>
              <w:overflowPunct/>
              <w:spacing w:line="240" w:lineRule="auto"/>
              <w:ind w:firstLineChars="0" w:firstLine="0"/>
              <w:jc w:val="center"/>
              <w:rPr>
                <w:rFonts w:eastAsia="宋体" w:cs="宋体"/>
                <w:kern w:val="0"/>
                <w:sz w:val="36"/>
                <w:szCs w:val="36"/>
              </w:rPr>
            </w:pPr>
            <w:r>
              <w:rPr>
                <w:rFonts w:eastAsia="宋体" w:cs="宋体" w:hint="eastAsia"/>
                <w:kern w:val="0"/>
                <w:sz w:val="36"/>
                <w:szCs w:val="36"/>
              </w:rPr>
              <w:t>国有资本经营预算支出表</w:t>
            </w:r>
          </w:p>
        </w:tc>
      </w:tr>
      <w:tr>
        <w:trPr>
          <w:trHeight w:val="285"/>
        </w:trPr>
        <w:tc>
          <w:tcPr>
            <w:tcW w:w="3119"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18"/>
                <w:szCs w:val="18"/>
              </w:rPr>
            </w:pPr>
            <w:r>
              <w:rPr>
                <w:rFonts w:eastAsia="宋体" w:cs="宋体" w:hint="eastAsia"/>
                <w:color w:val="000000"/>
                <w:kern w:val="0"/>
                <w:sz w:val="18"/>
                <w:szCs w:val="18"/>
              </w:rPr>
              <w:t>　</w:t>
            </w:r>
          </w:p>
        </w:tc>
        <w:tc>
          <w:tcPr>
            <w:tcW w:w="3402"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2551"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center"/>
              <w:rPr>
                <w:rFonts w:eastAsia="宋体" w:cs="宋体"/>
                <w:color w:val="000000"/>
                <w:kern w:val="0"/>
                <w:sz w:val="22"/>
              </w:rPr>
            </w:pPr>
            <w:r>
              <w:rPr>
                <w:rFonts w:eastAsia="宋体" w:cs="宋体" w:hint="eastAsia"/>
                <w:color w:val="000000"/>
                <w:kern w:val="0"/>
                <w:sz w:val="22"/>
              </w:rPr>
              <w:t>　</w:t>
            </w:r>
          </w:p>
        </w:tc>
        <w:tc>
          <w:tcPr>
            <w:tcW w:w="241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center"/>
              <w:rPr>
                <w:rFonts w:eastAsia="宋体" w:cs="宋体"/>
                <w:color w:val="000000"/>
                <w:kern w:val="0"/>
                <w:sz w:val="22"/>
              </w:rPr>
            </w:pPr>
            <w:r>
              <w:rPr>
                <w:rFonts w:eastAsia="宋体" w:cs="宋体" w:hint="eastAsia"/>
                <w:color w:val="000000"/>
                <w:kern w:val="0"/>
                <w:sz w:val="22"/>
              </w:rPr>
              <w:t>　</w:t>
            </w:r>
          </w:p>
        </w:tc>
        <w:tc>
          <w:tcPr>
            <w:tcW w:w="2598"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宋体" w:cs="宋体"/>
                <w:color w:val="000000"/>
                <w:kern w:val="0"/>
                <w:sz w:val="20"/>
                <w:szCs w:val="20"/>
              </w:rPr>
            </w:pPr>
            <w:r>
              <w:rPr>
                <w:rFonts w:eastAsia="宋体" w:cs="宋体" w:hint="eastAsia"/>
                <w:color w:val="000000"/>
                <w:kern w:val="0"/>
                <w:sz w:val="20"/>
                <w:szCs w:val="20"/>
              </w:rPr>
              <w:t>单位：万元</w:t>
            </w:r>
          </w:p>
        </w:tc>
      </w:tr>
      <w:tr>
        <w:trPr>
          <w:trHeight w:hRule="exact" w:val="567"/>
        </w:trPr>
        <w:tc>
          <w:tcPr>
            <w:tcW w:w="3119"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科目名称</w:t>
            </w:r>
          </w:p>
        </w:tc>
        <w:tc>
          <w:tcPr>
            <w:tcW w:w="7559" w:type="dxa"/>
            <w:gridSpan w:val="3"/>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2023年国有资本经营预算支出</w:t>
            </w:r>
          </w:p>
        </w:tc>
      </w:tr>
      <w:tr>
        <w:trPr>
          <w:trHeight w:hRule="exact" w:val="567"/>
        </w:trPr>
        <w:tc>
          <w:tcPr>
            <w:tcW w:w="3119" w:type="dxa"/>
            <w:vMerge/>
            <w:tcBorders>
              <w:top w:val="nil"/>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1"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小计</w:t>
            </w:r>
          </w:p>
        </w:tc>
        <w:tc>
          <w:tcPr>
            <w:tcW w:w="2410"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基本支出</w:t>
            </w:r>
          </w:p>
        </w:tc>
        <w:tc>
          <w:tcPr>
            <w:tcW w:w="2598"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项目支出</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r>
        <w:trPr>
          <w:trHeight w:hRule="exact" w:val="567"/>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合   计</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bl>
    <w:p>
      <w:pPr>
        <w:overflowPunct/>
        <w:spacing w:line="240" w:lineRule="auto"/>
        <w:ind w:firstLineChars="0" w:firstLine="0"/>
        <w:rPr>
          <w:rFonts w:cs="Times New Roman"/>
          <w:sz w:val="24"/>
          <w:szCs w:val="24"/>
        </w:rPr>
      </w:pPr>
      <w:r>
        <w:rPr>
          <w:rFonts w:cs="Times New Roman" w:hint="eastAsia"/>
          <w:sz w:val="24"/>
          <w:szCs w:val="24"/>
        </w:rPr>
        <w:t>注：大连海关无国有资本经营预算收入，也无国有资本经营预算安排的支出，故本表无数据。</w:t>
      </w:r>
    </w:p>
    <w:p>
      <w:pPr>
        <w:widowControl/>
        <w:overflowPunct/>
        <w:spacing w:line="240" w:lineRule="auto"/>
        <w:ind w:firstLineChars="0" w:firstLine="0"/>
        <w:jc w:val="left"/>
      </w:pPr>
      <w:r>
        <w:br w:type="page"/>
      </w:r>
    </w:p>
    <w:p>
      <w:pPr>
        <w:pStyle w:val="22"/>
        <w:outlineLvl w:val="1"/>
      </w:pPr>
      <w:r>
        <w:rPr>
          <w:rFonts w:hint="eastAsia"/>
        </w:rPr>
        <w:t>九、财政拨款预算“三公”经费支出表</w:t>
      </w:r>
    </w:p>
    <w:p/>
    <w:tbl>
      <w:tblPr>
        <w:tblpPr w:leftFromText="180" w:rightFromText="180" w:vertAnchor="page" w:horzAnchor="margin" w:tblpXSpec="left" w:tblpY="2825"/>
        <w:tblW w:w="142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16"/>
        <w:gridCol w:w="1108"/>
        <w:gridCol w:w="1278"/>
        <w:gridCol w:w="1134"/>
        <w:gridCol w:w="1134"/>
        <w:gridCol w:w="1407"/>
        <w:gridCol w:w="1016"/>
        <w:gridCol w:w="1272"/>
        <w:gridCol w:w="1175"/>
        <w:gridCol w:w="1134"/>
        <w:gridCol w:w="1134"/>
        <w:gridCol w:w="1445"/>
      </w:tblGrid>
      <w:tr>
        <w:trPr>
          <w:trHeight w:val="285"/>
        </w:trPr>
        <w:tc>
          <w:tcPr>
            <w:tcW w:w="1016"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宋体" w:cs="宋体"/>
                <w:kern w:val="0"/>
                <w:sz w:val="24"/>
                <w:szCs w:val="24"/>
              </w:rPr>
            </w:pPr>
          </w:p>
        </w:tc>
        <w:tc>
          <w:tcPr>
            <w:tcW w:w="1108"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278"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34"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34"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407"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016"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272"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75"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34"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34"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445"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黑体" w:cs="宋体"/>
                <w:kern w:val="0"/>
                <w:sz w:val="20"/>
                <w:szCs w:val="20"/>
              </w:rPr>
            </w:pPr>
            <w:r>
              <w:rPr>
                <w:rFonts w:eastAsia="黑体" w:cs="宋体" w:hint="eastAsia"/>
                <w:kern w:val="0"/>
                <w:sz w:val="20"/>
                <w:szCs w:val="20"/>
              </w:rPr>
              <w:t>部门公开表9</w:t>
            </w:r>
          </w:p>
        </w:tc>
      </w:tr>
      <w:tr>
        <w:trPr>
          <w:trHeight w:val="405"/>
        </w:trPr>
        <w:tc>
          <w:tcPr>
            <w:tcW w:w="14253" w:type="dxa"/>
            <w:gridSpan w:val="12"/>
            <w:tcBorders>
              <w:top w:val="nil"/>
              <w:left w:val="nil"/>
              <w:bottom w:val="nil"/>
              <w:right w:val="nil"/>
            </w:tcBorders>
            <w:shd w:val="clear" w:color="auto" w:fill="auto"/>
            <w:noWrap/>
            <w:vAlign w:val="center"/>
          </w:tcPr>
          <w:p>
            <w:pPr>
              <w:widowControl/>
              <w:overflowPunct/>
              <w:spacing w:line="240" w:lineRule="auto"/>
              <w:ind w:firstLineChars="0" w:firstLine="0"/>
              <w:jc w:val="center"/>
              <w:rPr>
                <w:rFonts w:eastAsia="宋体" w:cs="宋体"/>
                <w:kern w:val="0"/>
                <w:sz w:val="36"/>
                <w:szCs w:val="36"/>
              </w:rPr>
            </w:pPr>
            <w:r>
              <w:rPr>
                <w:rFonts w:eastAsia="宋体" w:cs="宋体" w:hint="eastAsia"/>
                <w:kern w:val="0"/>
                <w:sz w:val="36"/>
                <w:szCs w:val="36"/>
              </w:rPr>
              <w:t>财政拨款预算“三公”经费支出表</w:t>
            </w:r>
          </w:p>
        </w:tc>
      </w:tr>
      <w:tr>
        <w:trPr>
          <w:trHeight w:val="327"/>
        </w:trPr>
        <w:tc>
          <w:tcPr>
            <w:tcW w:w="1016"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08"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278"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34"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34"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407"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016"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272"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75"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34"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34"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445"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right"/>
              <w:rPr>
                <w:rFonts w:eastAsia="宋体" w:cs="宋体"/>
                <w:kern w:val="0"/>
                <w:sz w:val="18"/>
                <w:szCs w:val="18"/>
              </w:rPr>
            </w:pPr>
            <w:r>
              <w:rPr>
                <w:rFonts w:eastAsia="宋体" w:cs="宋体" w:hint="eastAsia"/>
                <w:kern w:val="0"/>
                <w:sz w:val="18"/>
                <w:szCs w:val="18"/>
              </w:rPr>
              <w:t>单位：万元</w:t>
            </w:r>
          </w:p>
        </w:tc>
      </w:tr>
      <w:tr>
        <w:trPr>
          <w:trHeight w:val="660"/>
        </w:trPr>
        <w:tc>
          <w:tcPr>
            <w:tcW w:w="7077"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2022年预算数</w:t>
            </w:r>
          </w:p>
        </w:tc>
        <w:tc>
          <w:tcPr>
            <w:tcW w:w="7176" w:type="dxa"/>
            <w:gridSpan w:val="6"/>
            <w:tcBorders>
              <w:top w:val="single" w:sz="4" w:space="0" w:color="auto"/>
              <w:left w:val="nil"/>
              <w:bottom w:val="single" w:sz="4" w:space="0" w:color="auto"/>
              <w:right w:val="single" w:sz="4" w:space="0" w:color="000000"/>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2023年预算数</w:t>
            </w:r>
          </w:p>
        </w:tc>
      </w:tr>
      <w:tr>
        <w:trPr>
          <w:trHeight w:val="870"/>
        </w:trPr>
        <w:tc>
          <w:tcPr>
            <w:tcW w:w="1016" w:type="dxa"/>
            <w:vMerge w:val="restart"/>
            <w:tcBorders>
              <w:top w:val="nil"/>
              <w:left w:val="single" w:sz="4" w:space="0" w:color="auto"/>
              <w:bottom w:val="single" w:sz="4" w:space="0" w:color="000000"/>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合计</w:t>
            </w:r>
          </w:p>
        </w:tc>
        <w:tc>
          <w:tcPr>
            <w:tcW w:w="1108" w:type="dxa"/>
            <w:vMerge w:val="restart"/>
            <w:tcBorders>
              <w:top w:val="nil"/>
              <w:left w:val="single" w:sz="4" w:space="0" w:color="auto"/>
              <w:bottom w:val="single" w:sz="4" w:space="0" w:color="000000"/>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因公出国（境）费</w:t>
            </w:r>
          </w:p>
        </w:tc>
        <w:tc>
          <w:tcPr>
            <w:tcW w:w="3546" w:type="dxa"/>
            <w:gridSpan w:val="3"/>
            <w:tcBorders>
              <w:top w:val="single" w:sz="4" w:space="0" w:color="auto"/>
              <w:left w:val="nil"/>
              <w:bottom w:val="single" w:sz="4" w:space="0" w:color="auto"/>
              <w:right w:val="single" w:sz="4" w:space="0" w:color="000000"/>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公务用车购置及运行费</w:t>
            </w:r>
          </w:p>
        </w:tc>
        <w:tc>
          <w:tcPr>
            <w:tcW w:w="1407" w:type="dxa"/>
            <w:vMerge w:val="restart"/>
            <w:tcBorders>
              <w:top w:val="nil"/>
              <w:left w:val="single" w:sz="4" w:space="0" w:color="auto"/>
              <w:bottom w:val="single" w:sz="4" w:space="0" w:color="000000"/>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公务接待费</w:t>
            </w:r>
          </w:p>
        </w:tc>
        <w:tc>
          <w:tcPr>
            <w:tcW w:w="1016" w:type="dxa"/>
            <w:vMerge w:val="restart"/>
            <w:tcBorders>
              <w:top w:val="nil"/>
              <w:left w:val="single" w:sz="4" w:space="0" w:color="auto"/>
              <w:bottom w:val="single" w:sz="4" w:space="0" w:color="000000"/>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合计</w:t>
            </w:r>
          </w:p>
        </w:tc>
        <w:tc>
          <w:tcPr>
            <w:tcW w:w="1272" w:type="dxa"/>
            <w:vMerge w:val="restart"/>
            <w:tcBorders>
              <w:top w:val="nil"/>
              <w:left w:val="single" w:sz="4" w:space="0" w:color="auto"/>
              <w:bottom w:val="single" w:sz="4" w:space="0" w:color="000000"/>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因公出国（境）费</w:t>
            </w:r>
          </w:p>
        </w:tc>
        <w:tc>
          <w:tcPr>
            <w:tcW w:w="3443" w:type="dxa"/>
            <w:gridSpan w:val="3"/>
            <w:tcBorders>
              <w:top w:val="single" w:sz="4" w:space="0" w:color="auto"/>
              <w:left w:val="nil"/>
              <w:bottom w:val="single" w:sz="4" w:space="0" w:color="auto"/>
              <w:right w:val="single" w:sz="4" w:space="0" w:color="000000"/>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公务用车购置及运行费</w:t>
            </w:r>
          </w:p>
        </w:tc>
        <w:tc>
          <w:tcPr>
            <w:tcW w:w="1445" w:type="dxa"/>
            <w:vMerge w:val="restart"/>
            <w:tcBorders>
              <w:top w:val="nil"/>
              <w:left w:val="single" w:sz="4" w:space="0" w:color="auto"/>
              <w:bottom w:val="single" w:sz="4" w:space="0" w:color="000000"/>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公务接待费</w:t>
            </w:r>
          </w:p>
        </w:tc>
      </w:tr>
      <w:tr>
        <w:trPr>
          <w:trHeight w:val="735"/>
        </w:trPr>
        <w:tc>
          <w:tcPr>
            <w:tcW w:w="1016" w:type="dxa"/>
            <w:vMerge/>
            <w:tcBorders>
              <w:top w:val="nil"/>
              <w:left w:val="single" w:sz="4" w:space="0" w:color="auto"/>
              <w:bottom w:val="single" w:sz="4" w:space="0" w:color="000000"/>
              <w:right w:val="single" w:sz="4" w:space="0" w:color="auto"/>
            </w:tcBorders>
            <w:vAlign w:val="center"/>
          </w:tcPr>
          <w:p/>
        </w:tc>
        <w:tc>
          <w:tcPr>
            <w:tcW w:w="1108" w:type="dxa"/>
            <w:vMerge/>
            <w:tcBorders>
              <w:top w:val="nil"/>
              <w:left w:val="single" w:sz="4" w:space="0" w:color="auto"/>
              <w:bottom w:val="single" w:sz="4" w:space="0" w:color="000000"/>
              <w:right w:val="single" w:sz="4" w:space="0" w:color="auto"/>
            </w:tcBorders>
            <w:vAlign w:val="center"/>
          </w:tcPr>
          <w:p/>
        </w:tc>
        <w:tc>
          <w:tcPr>
            <w:tcW w:w="1278"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小计</w:t>
            </w:r>
          </w:p>
        </w:tc>
        <w:tc>
          <w:tcPr>
            <w:tcW w:w="1134"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公务用车购置费</w:t>
            </w:r>
          </w:p>
        </w:tc>
        <w:tc>
          <w:tcPr>
            <w:tcW w:w="1134"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公务用车运行费</w:t>
            </w:r>
          </w:p>
        </w:tc>
        <w:tc>
          <w:tcPr>
            <w:tcW w:w="1407" w:type="dxa"/>
            <w:vMerge/>
            <w:tcBorders>
              <w:top w:val="nil"/>
              <w:left w:val="single" w:sz="4" w:space="0" w:color="auto"/>
              <w:bottom w:val="single" w:sz="4" w:space="0" w:color="000000"/>
              <w:right w:val="single" w:sz="4" w:space="0" w:color="auto"/>
            </w:tcBorders>
            <w:vAlign w:val="center"/>
          </w:tcPr>
          <w:p/>
        </w:tc>
        <w:tc>
          <w:tcPr>
            <w:tcW w:w="1016" w:type="dxa"/>
            <w:vMerge/>
            <w:tcBorders>
              <w:top w:val="nil"/>
              <w:left w:val="single" w:sz="4" w:space="0" w:color="auto"/>
              <w:bottom w:val="single" w:sz="4" w:space="0" w:color="000000"/>
              <w:right w:val="single" w:sz="4" w:space="0" w:color="auto"/>
            </w:tcBorders>
            <w:vAlign w:val="center"/>
          </w:tcPr>
          <w:p/>
        </w:tc>
        <w:tc>
          <w:tcPr>
            <w:tcW w:w="1272" w:type="dxa"/>
            <w:vMerge/>
            <w:tcBorders>
              <w:top w:val="nil"/>
              <w:left w:val="single" w:sz="4" w:space="0" w:color="auto"/>
              <w:bottom w:val="single" w:sz="4" w:space="0" w:color="000000"/>
              <w:right w:val="single" w:sz="4" w:space="0" w:color="auto"/>
            </w:tcBorders>
            <w:vAlign w:val="center"/>
          </w:tcPr>
          <w:p/>
        </w:tc>
        <w:tc>
          <w:tcPr>
            <w:tcW w:w="11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小计</w:t>
            </w:r>
          </w:p>
        </w:tc>
        <w:tc>
          <w:tcPr>
            <w:tcW w:w="1134"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公务用车购置费</w:t>
            </w:r>
          </w:p>
        </w:tc>
        <w:tc>
          <w:tcPr>
            <w:tcW w:w="1134"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公务用车运行费</w:t>
            </w:r>
          </w:p>
        </w:tc>
        <w:tc>
          <w:tcPr>
            <w:tcW w:w="1445" w:type="dxa"/>
            <w:vMerge/>
            <w:tcBorders>
              <w:top w:val="nil"/>
              <w:left w:val="single" w:sz="4" w:space="0" w:color="auto"/>
              <w:bottom w:val="single" w:sz="4" w:space="0" w:color="000000"/>
              <w:right w:val="single" w:sz="4" w:space="0" w:color="auto"/>
            </w:tcBorders>
            <w:vAlign w:val="center"/>
          </w:tcPr>
          <w:p/>
        </w:tc>
      </w:tr>
      <w:tr>
        <w:trPr>
          <w:trHeight w:val="1335"/>
        </w:trPr>
        <w:tc>
          <w:tcPr>
            <w:tcW w:w="101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kern w:val="0"/>
                <w:sz w:val="20"/>
                <w:szCs w:val="20"/>
              </w:rPr>
            </w:pPr>
            <w:r>
              <w:rPr>
                <w:rFonts w:eastAsia="宋体" w:cs="Times New Roman" w:hint="eastAsia"/>
                <w:kern w:val="0"/>
                <w:sz w:val="20"/>
                <w:szCs w:val="20"/>
              </w:rPr>
              <w:t>508.23</w:t>
            </w:r>
          </w:p>
        </w:tc>
        <w:tc>
          <w:tcPr>
            <w:tcW w:w="110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kern w:val="0"/>
                <w:sz w:val="20"/>
                <w:szCs w:val="20"/>
              </w:rPr>
            </w:pPr>
          </w:p>
        </w:tc>
        <w:tc>
          <w:tcPr>
            <w:tcW w:w="127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kern w:val="0"/>
                <w:sz w:val="20"/>
                <w:szCs w:val="20"/>
              </w:rPr>
            </w:pPr>
            <w:r>
              <w:rPr>
                <w:rFonts w:eastAsia="宋体" w:cs="Times New Roman" w:hint="eastAsia"/>
                <w:kern w:val="0"/>
                <w:sz w:val="20"/>
                <w:szCs w:val="20"/>
              </w:rPr>
              <w:t>485</w:t>
            </w:r>
            <w:r>
              <w:rPr>
                <w:rFonts w:eastAsia="宋体" w:cs="Times New Roman"/>
                <w:kern w:val="0"/>
                <w:sz w:val="20"/>
                <w:szCs w:val="20"/>
              </w:rPr>
              <w:t>.73</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kern w:val="0"/>
                <w:sz w:val="20"/>
                <w:szCs w:val="20"/>
              </w:rPr>
            </w:pPr>
            <w:r>
              <w:rPr>
                <w:rFonts w:eastAsia="宋体" w:cs="Times New Roman" w:hint="eastAsia"/>
                <w:kern w:val="0"/>
                <w:sz w:val="20"/>
                <w:szCs w:val="20"/>
              </w:rPr>
              <w:t>100.00</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kern w:val="0"/>
                <w:sz w:val="20"/>
                <w:szCs w:val="20"/>
              </w:rPr>
            </w:pPr>
            <w:r>
              <w:rPr>
                <w:rFonts w:eastAsia="宋体" w:cs="Times New Roman" w:hint="eastAsia"/>
                <w:kern w:val="0"/>
                <w:sz w:val="20"/>
                <w:szCs w:val="20"/>
              </w:rPr>
              <w:t>385.73</w:t>
            </w:r>
          </w:p>
        </w:tc>
        <w:tc>
          <w:tcPr>
            <w:tcW w:w="140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kern w:val="0"/>
                <w:sz w:val="20"/>
                <w:szCs w:val="20"/>
              </w:rPr>
            </w:pPr>
            <w:r>
              <w:rPr>
                <w:rFonts w:eastAsia="宋体" w:cs="Times New Roman" w:hint="eastAsia"/>
                <w:kern w:val="0"/>
                <w:sz w:val="20"/>
                <w:szCs w:val="20"/>
              </w:rPr>
              <w:t>22.5</w:t>
            </w:r>
          </w:p>
        </w:tc>
        <w:tc>
          <w:tcPr>
            <w:tcW w:w="101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kern w:val="0"/>
                <w:sz w:val="20"/>
                <w:szCs w:val="20"/>
              </w:rPr>
            </w:pPr>
            <w:r>
              <w:rPr>
                <w:rFonts w:eastAsia="宋体" w:cs="Times New Roman" w:hint="eastAsia"/>
                <w:kern w:val="0"/>
                <w:sz w:val="20"/>
                <w:szCs w:val="20"/>
              </w:rPr>
              <w:t>415.63</w:t>
            </w:r>
          </w:p>
        </w:tc>
        <w:tc>
          <w:tcPr>
            <w:tcW w:w="127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kern w:val="0"/>
                <w:sz w:val="20"/>
                <w:szCs w:val="20"/>
              </w:rPr>
            </w:pPr>
          </w:p>
        </w:tc>
        <w:tc>
          <w:tcPr>
            <w:tcW w:w="117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kern w:val="0"/>
                <w:sz w:val="20"/>
                <w:szCs w:val="20"/>
              </w:rPr>
            </w:pPr>
            <w:r>
              <w:rPr>
                <w:rFonts w:eastAsia="宋体" w:cs="Times New Roman" w:hint="eastAsia"/>
                <w:kern w:val="0"/>
                <w:sz w:val="20"/>
                <w:szCs w:val="20"/>
              </w:rPr>
              <w:t>393.13</w:t>
            </w: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kern w:val="0"/>
                <w:sz w:val="20"/>
                <w:szCs w:val="20"/>
              </w:rPr>
            </w:pPr>
            <w:r>
              <w:rPr>
                <w:rFonts w:eastAsia="宋体" w:cs="Times New Roman" w:hint="eastAsia"/>
                <w:kern w:val="0"/>
                <w:sz w:val="20"/>
                <w:szCs w:val="20"/>
              </w:rPr>
              <w:t>393.13</w:t>
            </w:r>
          </w:p>
        </w:tc>
        <w:tc>
          <w:tcPr>
            <w:tcW w:w="1445"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kern w:val="0"/>
                <w:sz w:val="20"/>
                <w:szCs w:val="20"/>
              </w:rPr>
            </w:pPr>
            <w:r>
              <w:rPr>
                <w:rFonts w:eastAsia="宋体" w:cs="Times New Roman" w:hint="eastAsia"/>
                <w:kern w:val="0"/>
                <w:sz w:val="20"/>
                <w:szCs w:val="20"/>
              </w:rPr>
              <w:t>22.5</w:t>
            </w:r>
          </w:p>
        </w:tc>
      </w:tr>
    </w:tbl>
    <w:p>
      <w:pPr>
        <w:sectPr>
          <w:pgSz w:w="16838" w:h="11906" w:orient="landscape"/>
          <w:pgMar w:top="1797" w:right="1440" w:bottom="1797" w:left="1440" w:header="851" w:footer="992" w:gutter="0"/>
          <w:docGrid w:type="linesAndChars" w:linePitch="435" w:charSpace="0"/>
        </w:sectPr>
      </w:pPr>
    </w:p>
    <w:p>
      <w:pPr>
        <w:spacing w:line="240" w:lineRule="auto"/>
        <w:ind w:firstLineChars="0" w:firstLine="0"/>
        <w:jc w:val="center"/>
        <w:rPr>
          <w:rFonts w:ascii="方正小标宋_GBK" w:eastAsia="方正小标宋_GBK"/>
          <w:sz w:val="72"/>
          <w:szCs w:val="72"/>
        </w:rPr>
      </w:pPr>
      <w:bookmarkStart w:id="3" w:name="_Hlk133953791"/>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outlineLvl w:val="0"/>
        <w:rPr>
          <w:rFonts w:ascii="方正小标宋_GBK" w:eastAsia="方正小标宋_GBK"/>
          <w:sz w:val="84"/>
          <w:szCs w:val="84"/>
        </w:rPr>
      </w:pPr>
      <w:bookmarkEnd w:id="3"/>
      <w:r>
        <w:rPr>
          <w:rFonts w:ascii="方正小标宋_GBK" w:eastAsia="方正小标宋_GBK" w:hint="eastAsia"/>
          <w:sz w:val="84"/>
          <w:szCs w:val="84"/>
        </w:rPr>
        <w:t>第三部分</w:t>
      </w:r>
      <w:r>
        <w:rPr>
          <w:rFonts w:ascii="方正小标宋_GBK" w:eastAsia="方正小标宋_GBK"/>
          <w:sz w:val="84"/>
          <w:szCs w:val="84"/>
        </w:rPr>
        <w:br/>
        <w:t>大连海关本级</w:t>
      </w:r>
      <w:r>
        <w:rPr>
          <w:rFonts w:ascii="方正小标宋_GBK" w:eastAsia="方正小标宋_GBK" w:hint="eastAsia"/>
          <w:sz w:val="84"/>
          <w:szCs w:val="84"/>
        </w:rPr>
        <w:t>2023年部门预算情况说明</w:t>
      </w:r>
    </w:p>
    <w:p>
      <w:pPr>
        <w:widowControl/>
        <w:overflowPunct/>
        <w:spacing w:line="240" w:lineRule="auto"/>
        <w:ind w:firstLineChars="0" w:firstLine="0"/>
        <w:jc w:val="left"/>
        <w:rPr>
          <w:rFonts w:ascii="方正小标宋_GBK" w:eastAsia="方正小标宋_GBK"/>
          <w:sz w:val="84"/>
          <w:szCs w:val="84"/>
        </w:rPr>
      </w:pPr>
      <w:r>
        <w:rPr>
          <w:rFonts w:ascii="方正小标宋_GBK" w:eastAsia="方正小标宋_GBK"/>
          <w:sz w:val="84"/>
          <w:szCs w:val="84"/>
        </w:rPr>
        <w:br w:type="page"/>
      </w:r>
    </w:p>
    <w:p>
      <w:pPr>
        <w:pStyle w:val="22"/>
        <w:outlineLvl w:val="1"/>
      </w:pPr>
      <w:r>
        <w:rPr>
          <w:rFonts w:hint="eastAsia"/>
        </w:rPr>
        <w:t>一、关于大连海关本级202</w:t>
      </w:r>
      <w:r>
        <w:t>3</w:t>
      </w:r>
      <w:r>
        <w:rPr>
          <w:rFonts w:hint="eastAsia"/>
        </w:rPr>
        <w:t>年收支预算情况的总体说明</w:t>
      </w:r>
    </w:p>
    <w:p>
      <w:r>
        <w:rPr>
          <w:rFonts w:hint="eastAsia"/>
        </w:rPr>
        <w:t>按照综合预算的原则，海关所有收入和支出均纳入部门预算管理。收入包括：一般公共预算拨款收入、事业收入、事业单位经营收入、其他收入、使用非财政拨款结余、上年结转资金；支出包括：一般公共服务支出、公共安全支出、社会保障和就业支出、卫生健康支出、住房保障支出。大连海关202</w:t>
      </w:r>
      <w:r>
        <w:t>3</w:t>
      </w:r>
      <w:r>
        <w:rPr>
          <w:rFonts w:hint="eastAsia"/>
        </w:rPr>
        <w:t>年收支总预算</w:t>
      </w:r>
      <w:r>
        <w:t>41941.66</w:t>
      </w:r>
      <w:r>
        <w:rPr>
          <w:rFonts w:hint="eastAsia"/>
        </w:rPr>
        <w:t>万元。</w:t>
      </w:r>
    </w:p>
    <w:p>
      <w:pPr>
        <w:pStyle w:val="22"/>
        <w:outlineLvl w:val="1"/>
      </w:pPr>
      <w:r>
        <w:rPr>
          <w:rFonts w:hint="eastAsia"/>
        </w:rPr>
        <w:t>二、关于大连海关本级2</w:t>
      </w:r>
      <w:r>
        <w:t>023</w:t>
      </w:r>
      <w:r>
        <w:rPr>
          <w:rFonts w:hint="eastAsia"/>
        </w:rPr>
        <w:t>年收入预算情况说明</w:t>
      </w:r>
    </w:p>
    <w:p>
      <w:r>
        <w:rPr>
          <w:rFonts w:hint="eastAsia"/>
        </w:rPr>
        <w:t>大连海关本级</w:t>
      </w:r>
      <w:r>
        <w:t>2023</w:t>
      </w:r>
      <w:r>
        <w:rPr>
          <w:rFonts w:hint="eastAsia"/>
        </w:rPr>
        <w:t>年收入预算</w:t>
      </w:r>
      <w:r>
        <w:t>41941.66</w:t>
      </w:r>
      <w:r>
        <w:rPr>
          <w:rFonts w:hint="eastAsia"/>
        </w:rPr>
        <w:t>万元，其中：上年结转</w:t>
      </w:r>
      <w:r>
        <w:t>5846.37</w:t>
      </w:r>
      <w:r>
        <w:rPr>
          <w:rFonts w:hint="eastAsia"/>
        </w:rPr>
        <w:t>万元，占13.94</w:t>
      </w:r>
      <w:r>
        <w:t>%</w:t>
      </w:r>
      <w:r>
        <w:rPr>
          <w:rFonts w:hint="eastAsia"/>
        </w:rPr>
        <w:t>；一般公共预算财政拨款</w:t>
      </w:r>
      <w:r>
        <w:t>23480.29</w:t>
      </w:r>
      <w:r>
        <w:rPr>
          <w:rFonts w:hint="eastAsia"/>
        </w:rPr>
        <w:t>万元，占比55.98</w:t>
      </w:r>
      <w:r>
        <w:t>%</w:t>
      </w:r>
      <w:r>
        <w:rPr>
          <w:rFonts w:hint="eastAsia"/>
        </w:rPr>
        <w:t>；其他收入</w:t>
      </w:r>
      <w:r>
        <w:t>12615</w:t>
      </w:r>
      <w:r>
        <w:rPr>
          <w:rFonts w:hint="eastAsia"/>
        </w:rPr>
        <w:t>万元，占比30.08</w:t>
      </w:r>
      <w:r>
        <w:t>%</w:t>
      </w:r>
      <w:r>
        <w:rPr>
          <w:rFonts w:hint="eastAsia"/>
        </w:rPr>
        <w:t>。</w:t>
      </w:r>
    </w:p>
    <w:p>
      <w:pPr>
        <w:spacing w:line="240" w:lineRule="auto"/>
        <w:ind w:firstLineChars="0" w:firstLine="0"/>
        <w:jc w:val="center"/>
      </w:pPr>
      <w:r>
        <w:drawing>
          <wp:inline distT="0" distB="0" distL="0" distR="0">
            <wp:extent cx="5309870" cy="3115310"/>
            <wp:effectExtent l="0" t="0" r="0" b="0"/>
            <wp:docPr id="4" name="图片 4"/>
            <wp:cNvGraphicFramePr>
              <a:graphicFrameLocks noChangeAspect="1"/>
            </wp:cNvGraphicFramePr>
            <a:graphic>
              <a:graphicData uri="http://schemas.openxmlformats.org/drawingml/2006/picture">
                <pic:pic>
                  <pic:nvPicPr>
                    <pic:cNvPr id="6" name="图片 6"/>
                    <pic:cNvPicPr/>
                  </pic:nvPicPr>
                  <pic:blipFill>
                    <a:blip r:embed="rId6"/>
                    <a:stretch>
                      <a:fillRect/>
                    </a:stretch>
                  </pic:blipFill>
                  <pic:spPr>
                    <a:xfrm rot="0">
                      <a:off x="0" y="0"/>
                      <a:ext cx="5309870" cy="3115310"/>
                    </a:xfrm>
                    <a:prstGeom prst="rect"/>
                    <a:noFill/>
                    <a:ln w="9525" cmpd="sng" cap="rnd">
                      <a:solidFill>
                        <a:srgbClr val="000000"/>
                      </a:solidFill>
                      <a:prstDash val="solid"/>
                      <a:round/>
                    </a:ln>
                  </pic:spPr>
                </pic:pic>
              </a:graphicData>
            </a:graphic>
          </wp:inline>
        </w:drawing>
      </w:r>
    </w:p>
    <w:p>
      <w:pPr>
        <w:pStyle w:val="22"/>
        <w:outlineLvl w:val="1"/>
      </w:pPr>
      <w:r>
        <w:rPr>
          <w:rFonts w:hint="eastAsia"/>
        </w:rPr>
        <w:t>三、关于大连海关本级2</w:t>
      </w:r>
      <w:r>
        <w:t>023</w:t>
      </w:r>
      <w:r>
        <w:rPr>
          <w:rFonts w:hint="eastAsia"/>
        </w:rPr>
        <w:t>年支出预算情况说明</w:t>
      </w:r>
    </w:p>
    <w:p>
      <w:r>
        <w:rPr>
          <w:rFonts w:hint="eastAsia"/>
        </w:rPr>
        <w:t>大连海关本级2</w:t>
      </w:r>
      <w:r>
        <w:t>023</w:t>
      </w:r>
      <w:r>
        <w:rPr>
          <w:rFonts w:hint="eastAsia"/>
        </w:rPr>
        <w:t>年支出预算</w:t>
      </w:r>
      <w:r>
        <w:t>41941.66</w:t>
      </w:r>
      <w:r>
        <w:rPr>
          <w:rFonts w:hint="eastAsia"/>
        </w:rPr>
        <w:t>万元，其中基本支出30477.84万元，占比72.67</w:t>
      </w:r>
      <w:r>
        <w:t>%</w:t>
      </w:r>
      <w:r>
        <w:rPr>
          <w:rFonts w:hint="eastAsia"/>
        </w:rPr>
        <w:t>；项目支出6263.82万元，占比14.93</w:t>
      </w:r>
      <w:r>
        <w:t>%</w:t>
      </w:r>
      <w:r>
        <w:rPr>
          <w:rFonts w:hint="eastAsia"/>
        </w:rPr>
        <w:t>；对附属单位补助支出5200万元，占比12.40</w:t>
      </w:r>
      <w:r>
        <w:t>%</w:t>
      </w:r>
      <w:r>
        <w:rPr>
          <w:rFonts w:hint="eastAsia"/>
        </w:rPr>
        <w:t>。</w:t>
      </w:r>
    </w:p>
    <w:p>
      <w:pPr>
        <w:spacing w:line="240" w:lineRule="auto"/>
        <w:ind w:firstLineChars="0" w:firstLine="0"/>
        <w:jc w:val="center"/>
      </w:pPr>
      <w:r>
        <w:drawing>
          <wp:inline distT="0" distB="0" distL="0" distR="0">
            <wp:extent cx="5309870" cy="3115310"/>
            <wp:effectExtent l="0" t="0" r="0" b="0"/>
            <wp:docPr id="7" name="图片 7"/>
            <wp:cNvGraphicFramePr>
              <a:graphicFrameLocks noChangeAspect="1"/>
            </wp:cNvGraphicFramePr>
            <a:graphic>
              <a:graphicData uri="http://schemas.openxmlformats.org/drawingml/2006/picture">
                <pic:pic>
                  <pic:nvPicPr>
                    <pic:cNvPr id="9" name="图片 9"/>
                    <pic:cNvPicPr/>
                  </pic:nvPicPr>
                  <pic:blipFill>
                    <a:blip r:embed="rId7"/>
                    <a:stretch>
                      <a:fillRect/>
                    </a:stretch>
                  </pic:blipFill>
                  <pic:spPr>
                    <a:xfrm rot="0">
                      <a:off x="0" y="0"/>
                      <a:ext cx="5309870" cy="3115310"/>
                    </a:xfrm>
                    <a:prstGeom prst="rect"/>
                    <a:noFill/>
                    <a:ln w="9525" cmpd="sng" cap="rnd">
                      <a:solidFill>
                        <a:srgbClr val="000000"/>
                      </a:solidFill>
                      <a:prstDash val="solid"/>
                      <a:round/>
                    </a:ln>
                  </pic:spPr>
                </pic:pic>
              </a:graphicData>
            </a:graphic>
          </wp:inline>
        </w:drawing>
      </w:r>
    </w:p>
    <w:p>
      <w:pPr>
        <w:pStyle w:val="22"/>
        <w:outlineLvl w:val="1"/>
      </w:pPr>
      <w:r>
        <w:rPr>
          <w:rFonts w:hint="eastAsia"/>
        </w:rPr>
        <w:t>四、关于大连海关本级202</w:t>
      </w:r>
      <w:r>
        <w:t>3</w:t>
      </w:r>
      <w:r>
        <w:rPr>
          <w:rFonts w:hint="eastAsia"/>
        </w:rPr>
        <w:t>年财政拨款收支预算情况的总体说明</w:t>
      </w:r>
    </w:p>
    <w:p>
      <w:r>
        <w:rPr>
          <w:rFonts w:hint="eastAsia"/>
        </w:rPr>
        <w:t>大连海关本级202</w:t>
      </w:r>
      <w:r>
        <w:t>3</w:t>
      </w:r>
      <w:r>
        <w:rPr>
          <w:rFonts w:hint="eastAsia"/>
        </w:rPr>
        <w:t>年财政拨款收支总预算24320.66万元。收入全部为一般公共预算拨款，无政府性基金预算拨款。收入包括：一般公共预算当年财政拨款收入23480.29万元、上年结转840.37万元。支出包括：一般公共服务支出14761.64万元、公共安全支出3000.27万元、社会保障和就业支出2020.70万元、卫生健康支出1215.79万元、住房保障支出3322.26万元。</w:t>
      </w:r>
    </w:p>
    <w:p>
      <w:pPr>
        <w:spacing w:line="240" w:lineRule="auto"/>
        <w:ind w:firstLineChars="0" w:firstLine="0"/>
        <w:jc w:val="center"/>
      </w:pPr>
      <w:r>
        <w:drawing>
          <wp:inline distT="0" distB="0" distL="0" distR="0">
            <wp:extent cx="5309870" cy="3115310"/>
            <wp:effectExtent l="0" t="0" r="0" b="0"/>
            <wp:docPr id="10" name="图片 10"/>
            <wp:cNvGraphicFramePr>
              <a:graphicFrameLocks noChangeAspect="1"/>
            </wp:cNvGraphicFramePr>
            <a:graphic>
              <a:graphicData uri="http://schemas.openxmlformats.org/drawingml/2006/picture">
                <pic:pic>
                  <pic:nvPicPr>
                    <pic:cNvPr id="12" name="图片 12"/>
                    <pic:cNvPicPr/>
                  </pic:nvPicPr>
                  <pic:blipFill>
                    <a:blip r:embed="rId8"/>
                    <a:stretch>
                      <a:fillRect/>
                    </a:stretch>
                  </pic:blipFill>
                  <pic:spPr>
                    <a:xfrm rot="0">
                      <a:off x="0" y="0"/>
                      <a:ext cx="5309870" cy="3115310"/>
                    </a:xfrm>
                    <a:prstGeom prst="rect"/>
                    <a:noFill/>
                    <a:ln w="9525" cmpd="sng" cap="rnd">
                      <a:solidFill>
                        <a:srgbClr val="000000"/>
                      </a:solidFill>
                      <a:prstDash val="solid"/>
                      <a:round/>
                    </a:ln>
                  </pic:spPr>
                </pic:pic>
              </a:graphicData>
            </a:graphic>
          </wp:inline>
        </w:drawing>
      </w:r>
    </w:p>
    <w:p>
      <w:pPr>
        <w:pStyle w:val="22"/>
        <w:outlineLvl w:val="1"/>
      </w:pPr>
      <w:r>
        <w:rPr>
          <w:rFonts w:hint="eastAsia"/>
        </w:rPr>
        <w:t>五、关于大连海关本级2</w:t>
      </w:r>
      <w:r>
        <w:t>023</w:t>
      </w:r>
      <w:r>
        <w:rPr>
          <w:rFonts w:hint="eastAsia"/>
        </w:rPr>
        <w:t>年一般公共预算当年财政拨款情况说明</w:t>
      </w:r>
    </w:p>
    <w:p>
      <w:pPr>
        <w:pStyle w:val="23"/>
        <w:rPr>
          <w:b/>
          <w:bCs w:val="0"/>
        </w:rPr>
      </w:pPr>
      <w:r>
        <w:rPr>
          <w:rFonts w:hint="eastAsia"/>
          <w:b/>
          <w:bCs w:val="0"/>
        </w:rPr>
        <w:t>（一）一般公共预算当年财政拨款规模变化情况。</w:t>
      </w:r>
    </w:p>
    <w:p>
      <w:r>
        <w:rPr>
          <w:rFonts w:hint="eastAsia"/>
        </w:rPr>
        <w:t>大连海关本级2</w:t>
      </w:r>
      <w:r>
        <w:t>023</w:t>
      </w:r>
      <w:r>
        <w:rPr>
          <w:rFonts w:hint="eastAsia"/>
        </w:rPr>
        <w:t>年一般公共预算当年财政拨款预算23480.29万元，比2</w:t>
      </w:r>
      <w:r>
        <w:t>022</w:t>
      </w:r>
      <w:r>
        <w:rPr>
          <w:rFonts w:hint="eastAsia"/>
        </w:rPr>
        <w:t>年执行数减少7756.76万元，降幅24.83</w:t>
      </w:r>
      <w:r>
        <w:t>%</w:t>
      </w:r>
      <w:r>
        <w:rPr>
          <w:rFonts w:hint="eastAsia"/>
        </w:rPr>
        <w:t>。2</w:t>
      </w:r>
      <w:r>
        <w:t>023</w:t>
      </w:r>
      <w:r>
        <w:rPr>
          <w:rFonts w:hint="eastAsia"/>
        </w:rPr>
        <w:t>年，大连海关按照党中央、国务院和海关总署关于过紧日子的有关要求，优化资源统筹、强化预算管理、细化支出审批，切实确保各项资金用在实处。始终坚持优先保障民生、突出保障刚性运转需求，大力缩减一般性支出，重点缩减非急需非刚性支出，合理保障海关关务、检验检疫、缉私警察等必要支出需，以实际行动促进海关改革发展。</w:t>
      </w:r>
    </w:p>
    <w:p>
      <w:pPr>
        <w:pStyle w:val="23"/>
        <w:rPr>
          <w:b/>
          <w:bCs w:val="0"/>
        </w:rPr>
      </w:pPr>
      <w:r>
        <w:rPr>
          <w:rFonts w:hint="eastAsia"/>
          <w:b/>
          <w:bCs w:val="0"/>
        </w:rPr>
        <w:t>（二）一般公共预算当年财政拨款结构情况。</w:t>
      </w:r>
    </w:p>
    <w:p>
      <w:r>
        <w:rPr>
          <w:rFonts w:hint="eastAsia"/>
        </w:rPr>
        <w:t>2</w:t>
      </w:r>
      <w:r>
        <w:t>023</w:t>
      </w:r>
      <w:r>
        <w:rPr>
          <w:rFonts w:hint="eastAsia"/>
        </w:rPr>
        <w:t>年部门预算中，一般公共预算当年财政拨款用于以下方面：一般公共服务（类）支出13984.52万元，占比59.56</w:t>
      </w:r>
      <w:r>
        <w:t>%</w:t>
      </w:r>
      <w:r>
        <w:rPr>
          <w:rFonts w:hint="eastAsia"/>
        </w:rPr>
        <w:t>；公共安全（类）支出2955.07万元，占比12.59</w:t>
      </w:r>
      <w:r>
        <w:t>%</w:t>
      </w:r>
      <w:r>
        <w:rPr>
          <w:rFonts w:hint="eastAsia"/>
        </w:rPr>
        <w:t>；社会保障和就业（类）支出2020.7万元，占比8.61</w:t>
      </w:r>
      <w:r>
        <w:t>%</w:t>
      </w:r>
      <w:r>
        <w:rPr>
          <w:rFonts w:hint="eastAsia"/>
        </w:rPr>
        <w:t>；卫生健康（类）出1197.74万元，占比5.10</w:t>
      </w:r>
      <w:r>
        <w:t>%</w:t>
      </w:r>
      <w:r>
        <w:rPr>
          <w:rFonts w:hint="eastAsia"/>
        </w:rPr>
        <w:t>；住房保障（类）支出3322.26万元，占比1</w:t>
      </w:r>
      <w:r>
        <w:t>4.</w:t>
      </w:r>
      <w:r>
        <w:rPr>
          <w:rFonts w:hint="eastAsia"/>
        </w:rPr>
        <w:t>15</w:t>
      </w:r>
      <w:r>
        <w:t>%</w:t>
      </w:r>
      <w:r>
        <w:rPr>
          <w:rFonts w:hint="eastAsia"/>
        </w:rPr>
        <w:t>。</w:t>
      </w:r>
    </w:p>
    <w:p>
      <w:pPr>
        <w:spacing w:line="240" w:lineRule="auto"/>
        <w:ind w:firstLineChars="0" w:firstLine="0"/>
        <w:jc w:val="center"/>
      </w:pPr>
      <w:r>
        <w:drawing>
          <wp:inline distT="0" distB="0" distL="0" distR="0">
            <wp:extent cx="5309870" cy="3115310"/>
            <wp:effectExtent l="0" t="0" r="0" b="0"/>
            <wp:docPr id="13" name="图片 13"/>
            <wp:cNvGraphicFramePr>
              <a:graphicFrameLocks noChangeAspect="1"/>
            </wp:cNvGraphicFramePr>
            <a:graphic>
              <a:graphicData uri="http://schemas.openxmlformats.org/drawingml/2006/picture">
                <pic:pic>
                  <pic:nvPicPr>
                    <pic:cNvPr id="15" name="图片 15"/>
                    <pic:cNvPicPr/>
                  </pic:nvPicPr>
                  <pic:blipFill>
                    <a:blip r:embed="rId9"/>
                    <a:stretch>
                      <a:fillRect/>
                    </a:stretch>
                  </pic:blipFill>
                  <pic:spPr>
                    <a:xfrm rot="0">
                      <a:off x="0" y="0"/>
                      <a:ext cx="5309870" cy="3115310"/>
                    </a:xfrm>
                    <a:prstGeom prst="rect"/>
                    <a:noFill/>
                    <a:ln w="9525" cmpd="sng" cap="rnd">
                      <a:solidFill>
                        <a:srgbClr val="000000"/>
                      </a:solidFill>
                      <a:prstDash val="solid"/>
                      <a:round/>
                    </a:ln>
                  </pic:spPr>
                </pic:pic>
              </a:graphicData>
            </a:graphic>
          </wp:inline>
        </w:drawing>
      </w:r>
    </w:p>
    <w:p>
      <w:pPr>
        <w:pStyle w:val="23"/>
        <w:rPr>
          <w:b/>
          <w:bCs w:val="0"/>
        </w:rPr>
      </w:pPr>
      <w:r>
        <w:rPr>
          <w:rFonts w:hint="eastAsia"/>
          <w:b/>
          <w:bCs w:val="0"/>
        </w:rPr>
        <w:t>（三）一般公共预算当年财政拨款具体使用情况。</w:t>
      </w:r>
    </w:p>
    <w:p>
      <w:r>
        <w:rPr>
          <w:rFonts w:hint="eastAsia"/>
        </w:rPr>
        <w:t>1．一般公共服务支出（类）海关事务（款）2023年预算13984.52万元，比2022年执行数减少4995.27万元，下降26.32</w:t>
      </w:r>
      <w:r>
        <w:t>%</w:t>
      </w:r>
      <w:r>
        <w:rPr>
          <w:rFonts w:hint="eastAsia"/>
        </w:rPr>
        <w:t>，其中：</w:t>
      </w:r>
    </w:p>
    <w:p>
      <w:r>
        <w:rPr>
          <w:rFonts w:hint="eastAsia"/>
        </w:rPr>
        <w:t>（1）行政运行（项）2023年预算9669.78万元，比2022年执行数减少3343.82万元，下降25.69</w:t>
      </w:r>
      <w:r>
        <w:t>%</w:t>
      </w:r>
      <w:r>
        <w:rPr>
          <w:rFonts w:hint="eastAsia"/>
        </w:rPr>
        <w:t>。主要是2</w:t>
      </w:r>
      <w:r>
        <w:t>022</w:t>
      </w:r>
      <w:r>
        <w:rPr>
          <w:rFonts w:hint="eastAsia"/>
        </w:rPr>
        <w:t>年养老保险清算导致当年支出增加，落实过紧日子要求，压减相关经费。</w:t>
      </w:r>
    </w:p>
    <w:p>
      <w:r>
        <w:rPr>
          <w:rFonts w:hint="eastAsia"/>
        </w:rPr>
        <w:t>（2）一般行政管理事务（项）2023年预算</w:t>
      </w:r>
      <w:r>
        <w:t>4.00</w:t>
      </w:r>
      <w:r>
        <w:rPr>
          <w:rFonts w:hint="eastAsia"/>
        </w:rPr>
        <w:t>万元，比2022年执行数减少0万元，下降0.00</w:t>
      </w:r>
      <w:r>
        <w:t>%</w:t>
      </w:r>
      <w:r>
        <w:rPr>
          <w:rFonts w:hint="eastAsia"/>
        </w:rPr>
        <w:t>。</w:t>
      </w:r>
    </w:p>
    <w:p>
      <w:r>
        <w:rPr>
          <w:rFonts w:hint="eastAsia"/>
        </w:rPr>
        <w:t>（3）缉私办案（项）2023年预算498.83万元，比2022年执行数增加73.75万元，增长17.35</w:t>
      </w:r>
      <w:r>
        <w:t>%</w:t>
      </w:r>
      <w:r>
        <w:rPr>
          <w:rFonts w:hint="eastAsia"/>
        </w:rPr>
        <w:t>。主要是缉私办案需求增加。</w:t>
      </w:r>
    </w:p>
    <w:p>
      <w:r>
        <w:rPr>
          <w:rFonts w:hint="eastAsia"/>
        </w:rPr>
        <w:t>（4）口岸管理（项）2023年预算</w:t>
      </w:r>
      <w:r>
        <w:t>65.72</w:t>
      </w:r>
      <w:r>
        <w:rPr>
          <w:rFonts w:hint="eastAsia"/>
        </w:rPr>
        <w:t>万元，比2022年执行数减少</w:t>
      </w:r>
      <w:r>
        <w:t>50.00</w:t>
      </w:r>
      <w:r>
        <w:rPr>
          <w:rFonts w:hint="eastAsia"/>
        </w:rPr>
        <w:t>万元，下降</w:t>
      </w:r>
      <w:r>
        <w:t>43.21%</w:t>
      </w:r>
      <w:r>
        <w:rPr>
          <w:rFonts w:hint="eastAsia"/>
        </w:rPr>
        <w:t>。主要是口岸管理支出减少。</w:t>
      </w:r>
    </w:p>
    <w:p>
      <w:r>
        <w:rPr>
          <w:rFonts w:hint="eastAsia"/>
        </w:rPr>
        <w:t>（5）信息化建设（项）2023年预算</w:t>
      </w:r>
      <w:r>
        <w:t>872.00</w:t>
      </w:r>
      <w:r>
        <w:rPr>
          <w:rFonts w:hint="eastAsia"/>
        </w:rPr>
        <w:t>万元，比2022年执行数增加</w:t>
      </w:r>
      <w:r>
        <w:t>215.00</w:t>
      </w:r>
      <w:r>
        <w:rPr>
          <w:rFonts w:hint="eastAsia"/>
        </w:rPr>
        <w:t>万元，增长</w:t>
      </w:r>
      <w:r>
        <w:t>32.72%</w:t>
      </w:r>
      <w:r>
        <w:rPr>
          <w:rFonts w:hint="eastAsia"/>
        </w:rPr>
        <w:t>。主要是信息化建设支出增加。</w:t>
      </w:r>
    </w:p>
    <w:p>
      <w:r>
        <w:rPr>
          <w:rFonts w:hint="eastAsia"/>
        </w:rPr>
        <w:t>（6）海关关务（项）2023年预算2260.64万元，比2022年执行数增加768.45万元，增长51.50</w:t>
      </w:r>
      <w:r>
        <w:t>%</w:t>
      </w:r>
      <w:r>
        <w:rPr>
          <w:rFonts w:hint="eastAsia"/>
        </w:rPr>
        <w:t>。主要是海关业务保障支出增加。</w:t>
      </w:r>
    </w:p>
    <w:p>
      <w:r>
        <w:rPr>
          <w:rFonts w:hint="eastAsia"/>
        </w:rPr>
        <w:t>（7）关税征管（项）2023年预算</w:t>
      </w:r>
      <w:r>
        <w:t>24.55</w:t>
      </w:r>
      <w:r>
        <w:rPr>
          <w:rFonts w:hint="eastAsia"/>
        </w:rPr>
        <w:t>万元，比2022年执行数减少</w:t>
      </w:r>
      <w:r>
        <w:t>31.45</w:t>
      </w:r>
      <w:r>
        <w:rPr>
          <w:rFonts w:hint="eastAsia"/>
        </w:rPr>
        <w:t>万元，下降5</w:t>
      </w:r>
      <w:r>
        <w:t>6.16%</w:t>
      </w:r>
      <w:r>
        <w:rPr>
          <w:rFonts w:hint="eastAsia"/>
        </w:rPr>
        <w:t>。主要是该项目基数较小，变动的金额对变动比例影响较大。</w:t>
      </w:r>
    </w:p>
    <w:p>
      <w:r>
        <w:rPr>
          <w:rFonts w:hint="eastAsia"/>
        </w:rPr>
        <w:t>（8）海关监管（项）2023年预算236.95万元，比2022年执行数减少113.61万元，下降32.41</w:t>
      </w:r>
      <w:r>
        <w:t>%</w:t>
      </w:r>
      <w:r>
        <w:rPr>
          <w:rFonts w:hint="eastAsia"/>
        </w:rPr>
        <w:t>。主要是海关监管支出减少。</w:t>
      </w:r>
    </w:p>
    <w:p>
      <w:r>
        <w:rPr>
          <w:rFonts w:hint="eastAsia"/>
        </w:rPr>
        <w:t>（9）检验检疫（项）2023年预算352.05万元，比2022年执行数减少2513.60万元，降低87.71</w:t>
      </w:r>
      <w:r>
        <w:t>%</w:t>
      </w:r>
      <w:r>
        <w:rPr>
          <w:rFonts w:hint="eastAsia"/>
        </w:rPr>
        <w:t>。主要是2</w:t>
      </w:r>
      <w:r>
        <w:t>023</w:t>
      </w:r>
      <w:r>
        <w:rPr>
          <w:rFonts w:hint="eastAsia"/>
        </w:rPr>
        <w:t>年度检验检疫项目支出结构发生变化。</w:t>
      </w:r>
    </w:p>
    <w:p>
      <w:r>
        <w:rPr>
          <w:rFonts w:hint="eastAsia"/>
        </w:rPr>
        <w:t>2．公共安全支出（类）缉私警察（款）2023年预算2955.07万元，比2022年执行数增加346.55万元，增长13.29</w:t>
      </w:r>
      <w:r>
        <w:t>%</w:t>
      </w:r>
      <w:r>
        <w:rPr>
          <w:rFonts w:hint="eastAsia"/>
        </w:rPr>
        <w:t>。主要是打击走私等项目支出增加。</w:t>
      </w:r>
    </w:p>
    <w:p>
      <w:r>
        <w:rPr>
          <w:rFonts w:hint="eastAsia"/>
        </w:rPr>
        <w:t>3．社会保障和就业支出（类）行政事业单位养老支出（款）2023年预算2020.70万元，比2022年执行数减少2827.52万元，下降58.32%。其中：</w:t>
      </w:r>
    </w:p>
    <w:p>
      <w:r>
        <w:rPr>
          <w:rFonts w:hint="eastAsia"/>
        </w:rPr>
        <w:t>（1）行政单位离退休（项）2023年预算348.38万元，比2022年执行数减少38.98万元，下降10.06</w:t>
      </w:r>
      <w:r>
        <w:t>%</w:t>
      </w:r>
      <w:r>
        <w:rPr>
          <w:rFonts w:hint="eastAsia"/>
        </w:rPr>
        <w:t>。主要是行政单位离退休经费减少。</w:t>
      </w:r>
    </w:p>
    <w:p>
      <w:r>
        <w:rPr>
          <w:rFonts w:hint="eastAsia"/>
        </w:rPr>
        <w:t>（</w:t>
      </w:r>
      <w:r>
        <w:t>2</w:t>
      </w:r>
      <w:r>
        <w:rPr>
          <w:rFonts w:hint="eastAsia"/>
        </w:rPr>
        <w:t>）机关事业单位基本养老保险缴费支出（项）2023年预算1119.03万元，比2022年执行数减少2230.98万元，下降66.60</w:t>
      </w:r>
      <w:r>
        <w:t>%</w:t>
      </w:r>
      <w:r>
        <w:rPr>
          <w:rFonts w:hint="eastAsia"/>
        </w:rPr>
        <w:t>。主要是2</w:t>
      </w:r>
      <w:r>
        <w:t>022</w:t>
      </w:r>
      <w:r>
        <w:rPr>
          <w:rFonts w:hint="eastAsia"/>
        </w:rPr>
        <w:t>年养老保险清算导致当年支出增加。</w:t>
      </w:r>
    </w:p>
    <w:p>
      <w:r>
        <w:rPr>
          <w:rFonts w:hint="eastAsia"/>
        </w:rPr>
        <w:t>（</w:t>
      </w:r>
      <w:r>
        <w:t>3</w:t>
      </w:r>
      <w:r>
        <w:rPr>
          <w:rFonts w:hint="eastAsia"/>
        </w:rPr>
        <w:t>）机关事业单位职业年金缴费支出（项）2023年预算553.29万元，比2022年执行数减少557.56万元，下降50.19</w:t>
      </w:r>
      <w:r>
        <w:t>%</w:t>
      </w:r>
      <w:r>
        <w:rPr>
          <w:rFonts w:hint="eastAsia"/>
        </w:rPr>
        <w:t>。主要是2022年养老保险清算导致当年支出增加。</w:t>
      </w:r>
    </w:p>
    <w:p>
      <w:r>
        <w:rPr>
          <w:rFonts w:hint="eastAsia"/>
        </w:rPr>
        <w:t>4．卫生健康支出（类）行政事业单位医疗（款）2023年预算1197.74万元，比2022年执行数增152.54万元，增长14.59</w:t>
      </w:r>
      <w:r>
        <w:t>%</w:t>
      </w:r>
      <w:r>
        <w:rPr>
          <w:rFonts w:hint="eastAsia"/>
        </w:rPr>
        <w:t>。其中：</w:t>
      </w:r>
    </w:p>
    <w:p>
      <w:r>
        <w:rPr>
          <w:rFonts w:hint="eastAsia"/>
        </w:rPr>
        <w:t>（1）行政单位医疗（项）2023年预算718.76万元，比2022年执行数增加109万元，增长17.88</w:t>
      </w:r>
      <w:r>
        <w:t>%</w:t>
      </w:r>
      <w:r>
        <w:rPr>
          <w:rFonts w:hint="eastAsia"/>
        </w:rPr>
        <w:t>。主要是行政单位医疗经费增加。</w:t>
      </w:r>
    </w:p>
    <w:p>
      <w:r>
        <w:rPr>
          <w:rFonts w:hint="eastAsia"/>
        </w:rPr>
        <w:t>（2）公务员医疗补助（项）2023年预算447.37万元，比2022年执行数增加11.94万元，增长2.74</w:t>
      </w:r>
      <w:r>
        <w:t>%</w:t>
      </w:r>
      <w:r>
        <w:rPr>
          <w:rFonts w:hint="eastAsia"/>
        </w:rPr>
        <w:t>。与2</w:t>
      </w:r>
      <w:r>
        <w:t>022</w:t>
      </w:r>
      <w:r>
        <w:rPr>
          <w:rFonts w:hint="eastAsia"/>
        </w:rPr>
        <w:t>年基本持平。</w:t>
      </w:r>
    </w:p>
    <w:p>
      <w:r>
        <w:rPr>
          <w:rFonts w:hint="eastAsia"/>
        </w:rPr>
        <w:t>（3）其他行政事业单位医疗支出（项）2023年预算31.61万元，比2022年执行数增加31.61万元，为今年新增项目。</w:t>
      </w:r>
    </w:p>
    <w:p>
      <w:r>
        <w:t>5</w:t>
      </w:r>
      <w:r>
        <w:rPr>
          <w:rFonts w:hint="eastAsia"/>
        </w:rPr>
        <w:t>．住房保障支出（类）住房改革支出（款）2023年预算3322.26万元，比2022年执行数减少433.07万元，下降11.53</w:t>
      </w:r>
      <w:r>
        <w:t>%</w:t>
      </w:r>
      <w:r>
        <w:rPr>
          <w:rFonts w:hint="eastAsia"/>
        </w:rPr>
        <w:t>。其中：</w:t>
      </w:r>
    </w:p>
    <w:p>
      <w:r>
        <w:rPr>
          <w:rFonts w:hint="eastAsia"/>
        </w:rPr>
        <w:t>（1）住房公积金（项）2023年预算1187.26万元，比2022年执行数增加282.23万元，增长31.18</w:t>
      </w:r>
      <w:r>
        <w:t>%</w:t>
      </w:r>
      <w:r>
        <w:rPr>
          <w:rFonts w:hint="eastAsia"/>
        </w:rPr>
        <w:t>。主要是缴存基数调整和职务职级变动相应增加经费支出。</w:t>
      </w:r>
    </w:p>
    <w:p>
      <w:r>
        <w:rPr>
          <w:rFonts w:hint="eastAsia"/>
        </w:rPr>
        <w:t>（2）购房补贴（项）2023年预算2135万元，比2022年执行数减少715.3万元，下降25.1</w:t>
      </w:r>
      <w:r>
        <w:t>%</w:t>
      </w:r>
      <w:r>
        <w:rPr>
          <w:rFonts w:hint="eastAsia"/>
        </w:rPr>
        <w:t>。主要是关区老职工一次性购房补贴由本级统一发放调整为各隶属单位自行发放。</w:t>
      </w:r>
    </w:p>
    <w:p>
      <w:pPr>
        <w:pStyle w:val="22"/>
        <w:outlineLvl w:val="1"/>
      </w:pPr>
      <w:r>
        <w:rPr>
          <w:rFonts w:hint="eastAsia"/>
        </w:rPr>
        <w:t>六、关于大连海关本级2</w:t>
      </w:r>
      <w:r>
        <w:t>023</w:t>
      </w:r>
      <w:r>
        <w:rPr>
          <w:rFonts w:hint="eastAsia"/>
        </w:rPr>
        <w:t>年一般公共预算基本支出情况说明</w:t>
      </w:r>
    </w:p>
    <w:p>
      <w:r>
        <w:rPr>
          <w:rFonts w:hint="eastAsia"/>
        </w:rPr>
        <w:t>大连海关本级2023年一般公共预算基本支出18029.97万元，其中：</w:t>
      </w:r>
    </w:p>
    <w:p>
      <w:r>
        <w:rPr>
          <w:rFonts w:hint="eastAsia"/>
        </w:rPr>
        <w:t>人员经费</w:t>
      </w:r>
      <w:r>
        <w:t>13881.07</w:t>
      </w:r>
      <w:r>
        <w:rPr>
          <w:rFonts w:hint="eastAsia"/>
        </w:rPr>
        <w:t>万元，主要包括：基本工资、津贴补贴、奖金、机关事业单位基本养老保险缴费、职业年金缴费、职工基本医疗保险缴费、公务员医疗补助缴费、其他社会保障缴费、住房公积金、其他工资福利支出</w:t>
      </w:r>
      <w:r>
        <w:t>、</w:t>
      </w:r>
      <w:r>
        <w:rPr>
          <w:rFonts w:hint="eastAsia"/>
        </w:rPr>
        <w:t>离休费、退休费、抚恤金、生活补助、医疗费补助、奖励金等；</w:t>
      </w:r>
    </w:p>
    <w:p>
      <w:r>
        <w:rPr>
          <w:rFonts w:hint="eastAsia"/>
        </w:rPr>
        <w:t>日常公用经费</w:t>
      </w:r>
      <w:r>
        <w:t>4148.9</w:t>
      </w:r>
      <w:r>
        <w:rPr>
          <w:rFonts w:hint="eastAsia"/>
        </w:rPr>
        <w:t>万元，主要包括：办公费、印刷费、咨询费、手续费、水费、电费、邮电费、取暖费、物业管理费、差旅费、维修（护）费、租赁费、会议费、培训费、公务接待费、专用材料费、被装购置费、劳务费、委托业务费、工会经费、福利费、公务用车运行维护费、其他交通费用、税金及附加费用、其他商品和服务支出</w:t>
      </w:r>
      <w:r>
        <w:t>、</w:t>
      </w:r>
      <w:r>
        <w:rPr>
          <w:rFonts w:hint="eastAsia"/>
        </w:rPr>
        <w:t>办公设备购置、专用设备购置、信息网络及软件购置更新等。</w:t>
      </w:r>
    </w:p>
    <w:p>
      <w:pPr>
        <w:pStyle w:val="22"/>
        <w:outlineLvl w:val="1"/>
      </w:pPr>
      <w:r>
        <w:rPr>
          <w:rFonts w:hint="eastAsia"/>
        </w:rPr>
        <w:t>七、关于大连海关本级202</w:t>
      </w:r>
      <w:r>
        <w:t>3</w:t>
      </w:r>
      <w:r>
        <w:rPr>
          <w:rFonts w:hint="eastAsia"/>
        </w:rPr>
        <w:t>年“三公”经费预算情况说明</w:t>
      </w:r>
    </w:p>
    <w:p>
      <w:r>
        <w:rPr>
          <w:rFonts w:hint="eastAsia"/>
        </w:rPr>
        <w:t>大连海关2023年“三公”经费预算数为</w:t>
      </w:r>
      <w:r>
        <w:t>415.63</w:t>
      </w:r>
      <w:r>
        <w:rPr>
          <w:rFonts w:hint="eastAsia"/>
        </w:rPr>
        <w:t>万元，比2022年预算数减少92.6万元。其中因公出国（境）费因疫情影响暂未安排；公务用车购置费0万元，比2022年预算数减少100万元；公务用车运行费393.13万元，比2022年预算数增加7.4万元；公务接待费22.5万元，与2022年预算数持平。</w:t>
      </w:r>
    </w:p>
    <w:p>
      <w:pPr>
        <w:pStyle w:val="22"/>
        <w:outlineLvl w:val="1"/>
      </w:pPr>
      <w:r>
        <w:rPr>
          <w:rFonts w:hint="eastAsia"/>
        </w:rPr>
        <w:t>八、关于大连海关本级2023年政府性基金预算收支情况说明</w:t>
      </w:r>
    </w:p>
    <w:p>
      <w:r>
        <w:rPr>
          <w:rFonts w:hint="eastAsia"/>
        </w:rPr>
        <w:t>大连海关2023年无政府性基金预算收支。</w:t>
      </w:r>
    </w:p>
    <w:p>
      <w:pPr>
        <w:pStyle w:val="22"/>
        <w:outlineLvl w:val="1"/>
      </w:pPr>
      <w:r>
        <w:rPr>
          <w:rFonts w:hint="eastAsia"/>
        </w:rPr>
        <w:t>九、关于大连海关本级2023年国有资本经营预算收支情况说明</w:t>
      </w:r>
    </w:p>
    <w:p>
      <w:r>
        <w:rPr>
          <w:rFonts w:hint="eastAsia"/>
        </w:rPr>
        <w:t>大连海关2023年无国有资本经营预算收支。</w:t>
      </w:r>
    </w:p>
    <w:p>
      <w:pPr>
        <w:pStyle w:val="22"/>
        <w:outlineLvl w:val="1"/>
      </w:pPr>
      <w:r>
        <w:rPr>
          <w:rFonts w:hint="eastAsia"/>
        </w:rPr>
        <w:t>十、其他重要事项情况说明</w:t>
      </w:r>
    </w:p>
    <w:p>
      <w:pPr>
        <w:pStyle w:val="23"/>
        <w:rPr>
          <w:b/>
          <w:bCs w:val="0"/>
        </w:rPr>
      </w:pPr>
      <w:r>
        <w:rPr>
          <w:rFonts w:hint="eastAsia"/>
          <w:b/>
          <w:bCs w:val="0"/>
        </w:rPr>
        <w:t>（一）机关运行经费。</w:t>
      </w:r>
    </w:p>
    <w:p>
      <w:r>
        <w:rPr>
          <w:rFonts w:hint="eastAsia"/>
        </w:rPr>
        <w:t>202</w:t>
      </w:r>
      <w:r>
        <w:t>3</w:t>
      </w:r>
      <w:r>
        <w:rPr>
          <w:rFonts w:hint="eastAsia"/>
        </w:rPr>
        <w:t>年大连海关本级及1</w:t>
      </w:r>
      <w:r>
        <w:t>9</w:t>
      </w:r>
      <w:r>
        <w:rPr>
          <w:rFonts w:hint="eastAsia"/>
        </w:rPr>
        <w:t>个隶属海关（单位）的机关运行经费财政拨款预算4148.9万元，较202</w:t>
      </w:r>
      <w:r>
        <w:t>2</w:t>
      </w:r>
      <w:r>
        <w:rPr>
          <w:rFonts w:hint="eastAsia"/>
        </w:rPr>
        <w:t>年预算数减少215.59万元，下降4.94</w:t>
      </w:r>
      <w:r>
        <w:t>%</w:t>
      </w:r>
      <w:r>
        <w:rPr>
          <w:rFonts w:hint="eastAsia"/>
        </w:rPr>
        <w:t>。主要是落实过紧日子要求，压减相关经费。</w:t>
      </w:r>
    </w:p>
    <w:p>
      <w:pPr>
        <w:pStyle w:val="23"/>
        <w:rPr>
          <w:b/>
          <w:bCs w:val="0"/>
        </w:rPr>
      </w:pPr>
      <w:r>
        <w:rPr>
          <w:rFonts w:hint="eastAsia"/>
          <w:b/>
          <w:bCs w:val="0"/>
        </w:rPr>
        <w:t>（二）政府采购情况。</w:t>
      </w:r>
    </w:p>
    <w:p>
      <w:r>
        <w:rPr>
          <w:rFonts w:hint="eastAsia"/>
        </w:rPr>
        <w:t>2023 年大连海关政府采购预算总额1970.98万元，其中：政府采购货物预算</w:t>
      </w:r>
      <w:r>
        <w:t>408.92</w:t>
      </w:r>
      <w:r>
        <w:rPr>
          <w:rFonts w:hint="eastAsia"/>
        </w:rPr>
        <w:t>万元、政府采购工程预算</w:t>
      </w:r>
      <w:r>
        <w:t>256.06</w:t>
      </w:r>
      <w:r>
        <w:rPr>
          <w:rFonts w:hint="eastAsia"/>
        </w:rPr>
        <w:t>万元、政府采购服务预算</w:t>
      </w:r>
      <w:r>
        <w:t>1306</w:t>
      </w:r>
      <w:r>
        <w:rPr>
          <w:rFonts w:hint="eastAsia"/>
        </w:rPr>
        <w:t>万元。</w:t>
      </w:r>
    </w:p>
    <w:p>
      <w:pPr>
        <w:pStyle w:val="23"/>
        <w:rPr>
          <w:b/>
          <w:bCs w:val="0"/>
        </w:rPr>
      </w:pPr>
      <w:r>
        <w:rPr>
          <w:rFonts w:hint="eastAsia"/>
          <w:b/>
          <w:bCs w:val="0"/>
        </w:rPr>
        <w:t>（三）国有资产占有使用情况。</w:t>
      </w:r>
    </w:p>
    <w:p>
      <w:r>
        <w:rPr>
          <w:rFonts w:hint="eastAsia"/>
        </w:rPr>
        <w:t>截至2022年</w:t>
      </w:r>
      <w:r>
        <w:t>8</w:t>
      </w:r>
      <w:r>
        <w:rPr>
          <w:rFonts w:hint="eastAsia"/>
        </w:rPr>
        <w:t>月31日，大连海关本级共实有车辆57辆，其中，机要通信用车2辆、应急保障用车3辆、执法执勤用车44辆、特种专业技术用车2辆、其他用车6辆。</w:t>
      </w:r>
    </w:p>
    <w:p>
      <w:pPr>
        <w:pStyle w:val="23"/>
        <w:rPr>
          <w:b/>
          <w:bCs w:val="0"/>
        </w:rPr>
      </w:pPr>
      <w:r>
        <w:rPr>
          <w:rFonts w:hint="eastAsia"/>
          <w:b/>
          <w:bCs w:val="0"/>
        </w:rPr>
        <w:t>（四）预算绩效情况说明。</w:t>
      </w:r>
    </w:p>
    <w:p>
      <w:r>
        <w:rPr>
          <w:rFonts w:hint="eastAsia"/>
        </w:rPr>
        <w:t>202</w:t>
      </w:r>
      <w:r>
        <w:t>3</w:t>
      </w:r>
      <w:r>
        <w:rPr>
          <w:rFonts w:hint="eastAsia"/>
        </w:rPr>
        <w:t>年大连海关本级一般公共预算拨款项目实施全面绩效目标管理，涉及一般公共预算财政拨款6263.82万元，一级项目13个，二级项目18个。</w:t>
      </w:r>
      <w:r>
        <w:br w:type="page"/>
      </w: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outlineLvl w:val="0"/>
        <w:rPr>
          <w:rFonts w:ascii="方正小标宋_GBK" w:eastAsia="方正小标宋_GBK"/>
          <w:sz w:val="84"/>
          <w:szCs w:val="84"/>
        </w:rPr>
      </w:pPr>
      <w:r>
        <w:rPr>
          <w:rFonts w:ascii="方正小标宋_GBK" w:eastAsia="方正小标宋_GBK" w:hint="eastAsia"/>
          <w:sz w:val="84"/>
          <w:szCs w:val="84"/>
        </w:rPr>
        <w:t>第四部分</w:t>
      </w:r>
      <w:r>
        <w:rPr>
          <w:rFonts w:ascii="方正小标宋_GBK" w:eastAsia="方正小标宋_GBK"/>
          <w:sz w:val="84"/>
          <w:szCs w:val="84"/>
        </w:rPr>
        <w:br/>
      </w:r>
      <w:r>
        <w:rPr>
          <w:rFonts w:ascii="方正小标宋_GBK" w:eastAsia="方正小标宋_GBK" w:hint="eastAsia"/>
          <w:sz w:val="84"/>
          <w:szCs w:val="84"/>
        </w:rPr>
        <w:t>名词解释</w:t>
      </w:r>
    </w:p>
    <w:p>
      <w:r>
        <w:br w:type="page"/>
      </w:r>
      <w:r>
        <w:rPr>
          <w:rFonts w:hint="eastAsia"/>
          <w:b/>
          <w:bCs/>
        </w:rPr>
        <w:t>一、一般公共预算拨款收入：</w:t>
      </w:r>
      <w:r>
        <w:rPr>
          <w:rFonts w:hint="eastAsia"/>
        </w:rPr>
        <w:t>指中央财政当年拨付的资金。</w:t>
      </w:r>
    </w:p>
    <w:p>
      <w:r>
        <w:rPr>
          <w:rFonts w:hint="eastAsia"/>
          <w:b/>
          <w:bCs/>
        </w:rPr>
        <w:t>二、事业收入：</w:t>
      </w:r>
      <w:r>
        <w:rPr>
          <w:rFonts w:hint="eastAsia"/>
        </w:rPr>
        <w:t>指海关系统所属事业单位开展专业业务活动及辅助活动取得的收入。</w:t>
      </w:r>
    </w:p>
    <w:p>
      <w:r>
        <w:rPr>
          <w:rFonts w:hint="eastAsia"/>
          <w:b/>
          <w:bCs/>
        </w:rPr>
        <w:t>三、事业单位经营收入：</w:t>
      </w:r>
      <w:r>
        <w:rPr>
          <w:rFonts w:hint="eastAsia"/>
        </w:rPr>
        <w:t>指海关系统所属事业单位在专业业务活动及辅助活动之外，开展非独立核算经营活动取得的收入。</w:t>
      </w:r>
    </w:p>
    <w:p>
      <w:r>
        <w:rPr>
          <w:rFonts w:hint="eastAsia"/>
          <w:b/>
          <w:bCs/>
        </w:rPr>
        <w:t>四、其他收入：</w:t>
      </w:r>
      <w:r>
        <w:rPr>
          <w:rFonts w:hint="eastAsia"/>
        </w:rPr>
        <w:t>指海关系统取得的除上述财政拨款收入、事业收入、事业单位经营收入等以外的收入。</w:t>
      </w:r>
    </w:p>
    <w:p>
      <w:r>
        <w:rPr>
          <w:rFonts w:hint="eastAsia"/>
          <w:b/>
          <w:bCs/>
        </w:rPr>
        <w:t>五、使用非财政拨款结余：</w:t>
      </w:r>
      <w:r>
        <w:rPr>
          <w:rFonts w:hint="eastAsia"/>
        </w:rPr>
        <w:t>指海关系统所属事业单位预计收入小于支出时，用非财政拨款结余弥补本年度收支差额的数额。</w:t>
      </w:r>
    </w:p>
    <w:p>
      <w:r>
        <w:rPr>
          <w:rFonts w:hint="eastAsia"/>
          <w:b/>
          <w:bCs/>
        </w:rPr>
        <w:t>六、上年结转：</w:t>
      </w:r>
      <w:r>
        <w:rPr>
          <w:rFonts w:hint="eastAsia"/>
        </w:rPr>
        <w:t>指以前年度尚未完成、结转到本年仍按原规定用途继续使用的资金等。</w:t>
      </w:r>
    </w:p>
    <w:p>
      <w:r>
        <w:rPr>
          <w:rFonts w:hint="eastAsia"/>
          <w:b/>
          <w:bCs/>
        </w:rPr>
        <w:t>七、一般公共服务支出（类）海关事务（款）：</w:t>
      </w:r>
      <w:r>
        <w:rPr>
          <w:rFonts w:hint="eastAsia"/>
        </w:rPr>
        <w:t>反映海关用于系统行政和事业单位的基本支出及完成专项业务工作的项目支出。</w:t>
      </w:r>
    </w:p>
    <w:p>
      <w:r>
        <w:rPr>
          <w:rFonts w:hint="eastAsia"/>
          <w:b/>
          <w:bCs/>
        </w:rPr>
        <w:t>（一）行政运行（项）：</w:t>
      </w:r>
      <w:r>
        <w:rPr>
          <w:rFonts w:hint="eastAsia"/>
        </w:rPr>
        <w:t>反映海关系统行政单位的基本支出。</w:t>
      </w:r>
    </w:p>
    <w:p>
      <w:r>
        <w:rPr>
          <w:rFonts w:hint="eastAsia"/>
          <w:b/>
          <w:bCs/>
        </w:rPr>
        <w:t>（二）一般行政管理事务（项）：</w:t>
      </w:r>
      <w:r>
        <w:rPr>
          <w:rFonts w:hint="eastAsia"/>
        </w:rPr>
        <w:t>反映海关系统行政单位未单独设置项级科目的其他项目支出。</w:t>
      </w:r>
    </w:p>
    <w:p>
      <w:r>
        <w:rPr>
          <w:rFonts w:hint="eastAsia"/>
          <w:b/>
          <w:bCs/>
        </w:rPr>
        <w:t>（三）机关服务（项）：</w:t>
      </w:r>
      <w:r>
        <w:rPr>
          <w:rFonts w:hint="eastAsia"/>
        </w:rPr>
        <w:t>反映海关系统为行政单位提供后勤服务的各类后勤服务中心等附属事业单位的支出。</w:t>
      </w:r>
    </w:p>
    <w:p>
      <w:r>
        <w:rPr>
          <w:rFonts w:hint="eastAsia"/>
          <w:b/>
          <w:bCs/>
        </w:rPr>
        <w:t>（四）缉私办案（项）：</w:t>
      </w:r>
      <w:r>
        <w:rPr>
          <w:rFonts w:hint="eastAsia"/>
        </w:rPr>
        <w:t>反映海关用于缉私办案方面的支出。</w:t>
      </w:r>
    </w:p>
    <w:p>
      <w:r>
        <w:rPr>
          <w:rFonts w:hint="eastAsia"/>
          <w:b/>
          <w:bCs/>
        </w:rPr>
        <w:t>（五）口岸管理（项）：</w:t>
      </w:r>
      <w:r>
        <w:rPr>
          <w:rFonts w:hint="eastAsia"/>
        </w:rPr>
        <w:t>反映口岸业务管理及电子口岸建设、运行维护方面的支出。</w:t>
      </w:r>
    </w:p>
    <w:p>
      <w:r>
        <w:rPr>
          <w:rFonts w:hint="eastAsia"/>
          <w:b/>
          <w:bCs/>
        </w:rPr>
        <w:t>（六）信息化建设（项）：</w:t>
      </w:r>
      <w:r>
        <w:rPr>
          <w:rFonts w:hint="eastAsia"/>
        </w:rPr>
        <w:t>反映海关系统用于信息化建设及运行维护等方面的支出。</w:t>
      </w:r>
    </w:p>
    <w:p>
      <w:r>
        <w:rPr>
          <w:rFonts w:hint="eastAsia"/>
          <w:b/>
          <w:bCs/>
        </w:rPr>
        <w:t>（七）海关关务（项）：</w:t>
      </w:r>
      <w:r>
        <w:rPr>
          <w:rFonts w:hint="eastAsia"/>
        </w:rPr>
        <w:t>反映为海关行政执法提供业务保障、支持能力以及基础设施建设、设备设施运维等方面的支出。</w:t>
      </w:r>
    </w:p>
    <w:p>
      <w:r>
        <w:rPr>
          <w:rFonts w:hint="eastAsia"/>
          <w:b/>
          <w:bCs/>
        </w:rPr>
        <w:t>（八）关税征管（项）：</w:t>
      </w:r>
      <w:r>
        <w:rPr>
          <w:rFonts w:hint="eastAsia"/>
        </w:rPr>
        <w:t>反映海关系统用于关税及其他税费征管方面的支出。</w:t>
      </w:r>
    </w:p>
    <w:p>
      <w:r>
        <w:rPr>
          <w:rFonts w:hint="eastAsia"/>
          <w:b/>
          <w:bCs/>
        </w:rPr>
        <w:t>（九）海关监管（项）：</w:t>
      </w:r>
      <w:r>
        <w:rPr>
          <w:rFonts w:hint="eastAsia"/>
        </w:rPr>
        <w:t>反映海关系统用于监管执法、业务管理及相关设备、技术支持方面的支出。</w:t>
      </w:r>
    </w:p>
    <w:p>
      <w:r>
        <w:rPr>
          <w:rFonts w:hint="eastAsia"/>
          <w:b/>
          <w:bCs/>
        </w:rPr>
        <w:t>（十）检验检疫（项）：</w:t>
      </w:r>
      <w:r>
        <w:rPr>
          <w:rFonts w:hint="eastAsia"/>
        </w:rPr>
        <w:t>反映海关系统用于出入境检验检疫行政执法、业务管理及相关技术支持方面的支出。</w:t>
      </w:r>
    </w:p>
    <w:p>
      <w:r>
        <w:rPr>
          <w:rFonts w:hint="eastAsia"/>
          <w:b/>
          <w:bCs/>
        </w:rPr>
        <w:t>（十一）事业运行（项）：</w:t>
      </w:r>
      <w:r>
        <w:rPr>
          <w:rFonts w:hint="eastAsia"/>
        </w:rPr>
        <w:t>反映海关事业单位的基本支出，不包括行政单位后勤服务中心等附属事业单位。</w:t>
      </w:r>
    </w:p>
    <w:p>
      <w:r>
        <w:rPr>
          <w:rFonts w:hint="eastAsia"/>
          <w:b/>
          <w:bCs/>
        </w:rPr>
        <w:t>（十二）其他海关事务支出（项）：</w:t>
      </w:r>
      <w:r>
        <w:rPr>
          <w:rFonts w:hint="eastAsia"/>
        </w:rPr>
        <w:t>反映除上述项目以外其他海关事务方面的支出。</w:t>
      </w:r>
    </w:p>
    <w:p>
      <w:r>
        <w:rPr>
          <w:rFonts w:hint="eastAsia"/>
          <w:b/>
          <w:bCs/>
        </w:rPr>
        <w:t>八、公共安全支出（类）缉私警察（款）：</w:t>
      </w:r>
      <w:r>
        <w:rPr>
          <w:rFonts w:hint="eastAsia"/>
        </w:rPr>
        <w:t>反映海关缉私警察的基本支出及完成专项业务工作的项目支出。</w:t>
      </w:r>
    </w:p>
    <w:p>
      <w:r>
        <w:rPr>
          <w:rFonts w:hint="eastAsia"/>
          <w:b/>
          <w:bCs/>
        </w:rPr>
        <w:t>九、社会保障和就业支出（类）行政事业单位养老支出（款）：</w:t>
      </w:r>
      <w:r>
        <w:rPr>
          <w:rFonts w:hint="eastAsia"/>
        </w:rPr>
        <w:t>反映用于海关行政事业单位离退休方面的支出。</w:t>
      </w:r>
    </w:p>
    <w:p>
      <w:r>
        <w:rPr>
          <w:rFonts w:hint="eastAsia"/>
          <w:b/>
          <w:bCs/>
        </w:rPr>
        <w:t>（一）行政单位离退休（项）：</w:t>
      </w:r>
      <w:r>
        <w:rPr>
          <w:rFonts w:hint="eastAsia"/>
        </w:rPr>
        <w:t>反映海关系统行政单位开支的离退休支出。</w:t>
      </w:r>
    </w:p>
    <w:p>
      <w:r>
        <w:rPr>
          <w:rFonts w:hint="eastAsia"/>
          <w:b/>
          <w:bCs/>
        </w:rPr>
        <w:t>（二）事业单位离退休（项）：</w:t>
      </w:r>
      <w:r>
        <w:rPr>
          <w:rFonts w:hint="eastAsia"/>
        </w:rPr>
        <w:t>反映海关系统事业单位开支的离退休经费。</w:t>
      </w:r>
    </w:p>
    <w:p>
      <w:r>
        <w:rPr>
          <w:rFonts w:hint="eastAsia"/>
          <w:b/>
          <w:bCs/>
        </w:rPr>
        <w:t>（三）机关事业单位基本养老保险缴费支出（项）：</w:t>
      </w:r>
      <w:r>
        <w:rPr>
          <w:rFonts w:hint="eastAsia"/>
        </w:rPr>
        <w:t>反映已参加当地社保的在职人员的基本养老保险支出。</w:t>
      </w:r>
    </w:p>
    <w:p>
      <w:r>
        <w:rPr>
          <w:rFonts w:hint="eastAsia"/>
          <w:b/>
          <w:bCs/>
        </w:rPr>
        <w:t>（四）机关事业单位职业年金缴费支出（项）：</w:t>
      </w:r>
      <w:r>
        <w:rPr>
          <w:rFonts w:hint="eastAsia"/>
        </w:rPr>
        <w:t>反映已参加当地社保的在职人员的职业年金支出。</w:t>
      </w:r>
    </w:p>
    <w:p>
      <w:r>
        <w:rPr>
          <w:rFonts w:hint="eastAsia"/>
          <w:b/>
          <w:bCs/>
        </w:rPr>
        <w:t>十、住房保障支出（类）住房改革支出（款）：</w:t>
      </w:r>
      <w:r>
        <w:rPr>
          <w:rFonts w:hint="eastAsia"/>
        </w:rPr>
        <w:t>反映海关系统按照国家政策规定为职工发放的住房公积金和购房补贴等支出。</w:t>
      </w:r>
    </w:p>
    <w:p>
      <w:r>
        <w:rPr>
          <w:rFonts w:hint="eastAsia"/>
          <w:b/>
          <w:bCs/>
        </w:rPr>
        <w:t>（一）住房公积金（项）：</w:t>
      </w:r>
      <w:r>
        <w:rPr>
          <w:rFonts w:hint="eastAsia"/>
        </w:rPr>
        <w:t>住房公积金是按照《住房公积金管理条例》的规定，由单位及其在职职工缴存的长期住房储金。该项政策始于上世纪九十年代中期，在全国机关、企事业单位在职职工中普遍实施，缴存比例最低不低于 5％，最高不超过 12％，缴存基数为职工本人上年工资，目前已实施近 20 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r>
        <w:rPr>
          <w:rFonts w:hint="eastAsia"/>
          <w:b/>
          <w:bCs/>
        </w:rPr>
        <w:t>（二）购房补贴（项）：</w:t>
      </w:r>
      <w:r>
        <w:rPr>
          <w:rFonts w:hint="eastAsia"/>
        </w:rPr>
        <w:t>购房补贴是根据《国务院关于进一步深化城镇住房制度改革加快住房建设的通知》（国发〔1998〕23 号）的规定，从 1998 年下半年停止实物分房后，房价收入比超过 4 倍以上地区对无房和住房未达标职工发放的住房货币化改革补贴资金。中央行政事业单位从 2000年开始发放购房补贴资金，地方行政事业单位从 1999 年陆续开始发放购房补贴资金，企业根据本单位情况自行确定。京外中央单位按照所在地人民政府住房分配货币化改革的政策规定和标准执行。</w:t>
      </w:r>
    </w:p>
    <w:p>
      <w:r>
        <w:rPr>
          <w:rFonts w:hint="eastAsia"/>
          <w:b/>
          <w:bCs/>
        </w:rPr>
        <w:t>十一、卫生健康支出（类）行政事业单位医疗（款）：</w:t>
      </w:r>
      <w:r>
        <w:rPr>
          <w:rFonts w:hint="eastAsia"/>
        </w:rPr>
        <w:t>反映已参加当地医保的海关单位用于向地方社保部门缴纳的基本医疗保险和公务员医疗补助支出。</w:t>
      </w:r>
    </w:p>
    <w:p>
      <w:r>
        <w:rPr>
          <w:rFonts w:hint="eastAsia"/>
          <w:b/>
          <w:bCs/>
        </w:rPr>
        <w:t>（一）行政单位医疗（项）：</w:t>
      </w:r>
      <w:r>
        <w:rPr>
          <w:rFonts w:hint="eastAsia"/>
        </w:rPr>
        <w:t>指中央财政集中安排的驻各地海关单位基本医疗保险缴费经费。</w:t>
      </w:r>
    </w:p>
    <w:p>
      <w:r>
        <w:rPr>
          <w:rFonts w:hint="eastAsia"/>
          <w:b/>
          <w:bCs/>
        </w:rPr>
        <w:t>（二）公务员医疗补助（项）：</w:t>
      </w:r>
      <w:r>
        <w:rPr>
          <w:rFonts w:hint="eastAsia"/>
        </w:rPr>
        <w:t>指中央财政集中安排的驻各地海关单位公务员医疗补助经费。</w:t>
      </w:r>
    </w:p>
    <w:p>
      <w:r>
        <w:rPr>
          <w:rFonts w:hint="eastAsia"/>
          <w:b/>
          <w:bCs/>
        </w:rPr>
        <w:t>十二、“三公”经费：</w:t>
      </w:r>
      <w:r>
        <w:rPr>
          <w:rFonts w:hint="eastAsia"/>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燃料费、维修费、过路过桥费、保险费、安全奖励费用等支出；公务接待费反映单位按规定开支的各类公务接待（含外宾接待）支出。</w:t>
      </w:r>
    </w:p>
    <w:p>
      <w:r>
        <w:rPr>
          <w:rFonts w:hint="eastAsia"/>
          <w:b/>
          <w:bCs/>
        </w:rPr>
        <w:t>十三、机关运行经费：</w:t>
      </w:r>
      <w:r>
        <w:rPr>
          <w:rFonts w:hint="eastAsia"/>
        </w:rPr>
        <w:t>为保障行政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widowControl/>
        <w:overflowPunct/>
        <w:spacing w:line="240" w:lineRule="auto"/>
        <w:ind w:firstLineChars="0" w:firstLine="0"/>
        <w:jc w:val="left"/>
      </w:pPr>
      <w:r>
        <w:br w:type="page"/>
      </w: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outlineLvl w:val="0"/>
        <w:rPr>
          <w:rFonts w:ascii="方正小标宋_GBK" w:eastAsia="方正小标宋_GBK"/>
          <w:sz w:val="84"/>
          <w:szCs w:val="84"/>
        </w:rPr>
      </w:pPr>
      <w:r>
        <w:rPr>
          <w:rFonts w:ascii="方正小标宋_GBK" w:eastAsia="方正小标宋_GBK" w:hint="eastAsia"/>
          <w:sz w:val="84"/>
          <w:szCs w:val="84"/>
        </w:rPr>
        <w:t>第五部分</w:t>
      </w:r>
      <w:r>
        <w:rPr>
          <w:rFonts w:ascii="方正小标宋_GBK" w:eastAsia="方正小标宋_GBK"/>
          <w:sz w:val="84"/>
          <w:szCs w:val="84"/>
        </w:rPr>
        <w:br/>
      </w:r>
      <w:r>
        <w:rPr>
          <w:rFonts w:ascii="方正小标宋_GBK" w:eastAsia="方正小标宋_GBK" w:hint="eastAsia"/>
          <w:sz w:val="84"/>
          <w:szCs w:val="84"/>
        </w:rPr>
        <w:t>附件</w:t>
      </w:r>
    </w:p>
    <w:p>
      <w:pPr>
        <w:spacing w:line="240" w:lineRule="auto"/>
        <w:ind w:firstLineChars="0" w:firstLine="0"/>
        <w:jc w:val="center"/>
        <w:outlineLvl w:val="0"/>
        <w:rPr>
          <w:rFonts w:ascii="方正小标宋_GBK" w:eastAsia="方正小标宋_GBK"/>
          <w:sz w:val="84"/>
          <w:szCs w:val="84"/>
        </w:rPr>
      </w:pPr>
      <w:r>
        <w:rPr>
          <w:rFonts w:ascii="方正小标宋_GBK" w:eastAsia="方正小标宋_GBK"/>
          <w:sz w:val="84"/>
          <w:szCs w:val="84"/>
        </w:rPr>
        <w:br w:type="page"/>
      </w:r>
    </w:p>
    <w:p/>
    <w:tbl>
      <w:tblPr>
        <w:jc w:val="center"/>
        <w:tblW w:w="93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546"/>
        <w:gridCol w:w="2320"/>
        <w:gridCol w:w="953"/>
        <w:gridCol w:w="992"/>
        <w:gridCol w:w="1475"/>
      </w:tblGrid>
      <w:tr>
        <w:trPr>
          <w:trHeight w:val="702"/>
        </w:trPr>
        <w:tc>
          <w:tcPr>
            <w:tcW w:w="9380" w:type="dxa"/>
            <w:gridSpan w:val="7"/>
            <w:tcBorders>
              <w:top w:val="nil"/>
              <w:left w:val="nil"/>
              <w:bottom w:val="nil"/>
              <w:right w:val="nil"/>
            </w:tcBorders>
            <w:shd w:val="clear" w:color="auto" w:fill="auto"/>
            <w:noWrap/>
            <w:vAlign w:val="center"/>
          </w:tcPr>
          <w:p>
            <w:pPr>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tcW w:w="9380" w:type="dxa"/>
            <w:gridSpan w:val="7"/>
            <w:tcBorders>
              <w:top w:val="nil"/>
              <w:left w:val="nil"/>
              <w:bottom w:val="nil"/>
              <w:right w:val="nil"/>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（2023年度）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5"/>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海关信息系统运行维护</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86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953"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单位</w:t>
            </w:r>
          </w:p>
        </w:tc>
        <w:tc>
          <w:tcPr>
            <w:tcW w:w="2467"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86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194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736.00</w:t>
            </w:r>
          </w:p>
        </w:tc>
        <w:tc>
          <w:tcPr>
            <w:tcW w:w="1475"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86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194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736.00</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86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194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86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194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1845"/>
        </w:trPr>
        <w:tc>
          <w:tcPr>
            <w:tcW w:w="818" w:type="dxa"/>
            <w:tcBorders>
              <w:top w:val="nil"/>
              <w:left w:val="single" w:sz="4" w:space="0" w:color="000000"/>
              <w:bottom w:val="nil"/>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6"/>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目标1：为目前所承载的信息系统进行外包运维制度，来聘请专业服务外包公司的专家、工程师对信息系统应急、驻场运维等提供专业的指导性意见和实施。</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目标2：保障电子数据的时效性、完整性和流畅性，保证关区各联网现场广域网专线高带宽。</w:t>
            </w:r>
          </w:p>
        </w:tc>
      </w:tr>
      <w:tr>
        <w:trPr>
          <w:trHeight w:val="886"/>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成本指标</w:t>
            </w: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经济成本</w:t>
              <w:br/>
              <w:t>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政府采购率（%）</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基础设施运维单位数量（个）</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＝4个</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8.0</w:t>
            </w: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rPr>
                <w:rFonts w:ascii="宋体" w:eastAsia="宋体" w:cs="宋体"/>
                <w:color w:val="000000"/>
                <w:kern w:val="0"/>
                <w:sz w:val="22"/>
              </w:rPr>
            </w:pPr>
            <w:r>
              <w:rPr>
                <w:rFonts w:ascii="宋体" w:eastAsia="宋体" w:cs="宋体" w:hint="eastAsia"/>
                <w:color w:val="000000"/>
                <w:kern w:val="0"/>
                <w:sz w:val="22"/>
              </w:rPr>
              <w:t>运维信息系统（个）</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＝2个</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8.0</w:t>
            </w: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租用网络线路（条）</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≥40条</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8.0</w:t>
            </w: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核心网络系统可用率</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≥99%</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8.0</w:t>
            </w: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时效指标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设备部署完成时间</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当年</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8.0</w:t>
            </w: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提高海关电子政务水平</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是</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30.0</w:t>
            </w:r>
          </w:p>
        </w:tc>
      </w:tr>
    </w:tbl>
    <w:p/>
    <w:tbl>
      <w:tblPr>
        <w:jc w:val="center"/>
        <w:tblW w:w="93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417"/>
        <w:gridCol w:w="2268"/>
        <w:gridCol w:w="1134"/>
        <w:gridCol w:w="992"/>
        <w:gridCol w:w="1475"/>
      </w:tblGrid>
      <w:tr>
        <w:trPr>
          <w:trHeight w:val="702"/>
        </w:trPr>
        <w:tc>
          <w:tcPr>
            <w:tcW w:w="9380" w:type="dxa"/>
            <w:gridSpan w:val="7"/>
            <w:tcBorders>
              <w:top w:val="nil"/>
              <w:left w:val="nil"/>
              <w:bottom w:val="nil"/>
              <w:right w:val="nil"/>
            </w:tcBorders>
            <w:shd w:val="clear" w:color="auto" w:fill="auto"/>
            <w:noWrap/>
            <w:vAlign w:val="center"/>
          </w:tcPr>
          <w:p>
            <w:pPr>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tcW w:w="9380" w:type="dxa"/>
            <w:gridSpan w:val="7"/>
            <w:tcBorders>
              <w:top w:val="nil"/>
              <w:left w:val="nil"/>
              <w:bottom w:val="nil"/>
              <w:right w:val="nil"/>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（2023年度）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5"/>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海关综合业务管理专项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134"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467"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4.00</w:t>
            </w:r>
          </w:p>
        </w:tc>
        <w:tc>
          <w:tcPr>
            <w:tcW w:w="1475"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4.00</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3210"/>
        </w:trPr>
        <w:tc>
          <w:tcPr>
            <w:tcW w:w="818" w:type="dxa"/>
            <w:tcBorders>
              <w:top w:val="nil"/>
              <w:left w:val="single" w:sz="4" w:space="0" w:color="000000"/>
              <w:bottom w:val="nil"/>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6"/>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目标1：按照总署统一部署和关区整体工作安排，参与推进重大改革发展事项，做好禁限管理，持续提升海关监管效能；</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目标2：组织开展优化营商环境、促进改革发展、加强知识产权保护等方面的调查研究和业务培训，提高关区综合业务管理水平。</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目标3：组织参与或承担海关技术规范制（修）订工作，进一步规范海关监管、执法作业；</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目标4：加强海关知识产权保护普法宣传，创新宣传载体和方法，提高社会公众对海关知识产权保护工作的认识。</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目标5：发挥技贸措施海关预警服务作用，助力外贸企业积极开拓出口市场。</w:t>
            </w:r>
          </w:p>
        </w:tc>
      </w:tr>
      <w:tr>
        <w:trPr>
          <w:trHeight w:val="792"/>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72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val="restart"/>
            <w:tcBorders>
              <w:top w:val="nil"/>
              <w:left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制(修)订海关技术规范制修订项目</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≥1个</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72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left w:val="single" w:sz="4" w:space="0" w:color="000000"/>
              <w:right w:val="single" w:sz="4" w:space="0" w:color="000000"/>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开展培训（技贸、知产、改革、禁限等领域）相关宣传培训</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≥1次</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72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left w:val="single" w:sz="4" w:space="0" w:color="000000"/>
              <w:right w:val="single" w:sz="4" w:space="0" w:color="000000"/>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开展宣传（技贸、知产、改革、禁限等领域）</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≥1个</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72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left w:val="single" w:sz="4" w:space="0" w:color="000000"/>
              <w:right w:val="single" w:sz="4" w:space="0" w:color="000000"/>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开展技术性贸易措施影响调查</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＝1次</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72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left w:val="single" w:sz="4" w:space="0" w:color="000000"/>
              <w:bottom w:val="single" w:sz="4" w:space="0" w:color="000000"/>
              <w:right w:val="single" w:sz="4" w:space="0" w:color="000000"/>
            </w:tcBorders>
            <w:shd w:val="clear" w:color="auto" w:fill="auto"/>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培训合格率</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w:t>
            </w:r>
          </w:p>
        </w:tc>
      </w:tr>
      <w:tr>
        <w:trPr>
          <w:trHeight w:val="72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提高知识产权海关保护执法水平</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有所</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提升</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72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社会公众知识产权保护意识</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有所</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提升</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20.0</w:t>
            </w:r>
          </w:p>
        </w:tc>
      </w:tr>
    </w:tbl>
    <w:p/>
    <w:tbl>
      <w:tblPr>
        <w:jc w:val="center"/>
        <w:tblW w:w="9380" w:type="dxa"/>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
      <w:tblGrid>
        <w:gridCol w:w="818"/>
        <w:gridCol w:w="1276"/>
        <w:gridCol w:w="1701"/>
        <w:gridCol w:w="1701"/>
        <w:gridCol w:w="1275"/>
        <w:gridCol w:w="1134"/>
        <w:gridCol w:w="1475"/>
      </w:tblGrid>
      <w:tr>
        <w:trPr>
          <w:trHeight w:val="702"/>
        </w:trPr>
        <w:tc>
          <w:tcPr>
            <w:tcW w:w="9380" w:type="dxa"/>
            <w:gridSpan w:val="7"/>
            <w:tcBorders>
              <w:top w:val="nil"/>
              <w:left w:val="nil"/>
              <w:bottom w:val="nil"/>
              <w:right w:val="nil"/>
            </w:tcBorders>
            <w:shd w:val="clear" w:color="auto" w:fill="auto"/>
            <w:noWrap/>
            <w:tcMar>
              <w:top w:w="17" w:type="dxa"/>
              <w:left w:w="17" w:type="dxa"/>
              <w:right w:w="17" w:type="dxa"/>
            </w:tcMar>
            <w:vAlign w:val="center"/>
          </w:tcPr>
          <w:p>
            <w:pPr>
              <w:jc w:val="center"/>
              <w:rPr>
                <w:rFonts w:ascii="方正黑体_GBK" w:eastAsia="方正黑体_GBK"/>
                <w:szCs w:val="32"/>
              </w:rPr>
            </w:pPr>
            <w:r>
              <w:rPr>
                <w:rFonts w:ascii="方正黑体_GBK" w:eastAsia="方正黑体_GBK" w:hint="eastAsia"/>
                <w:szCs w:val="32"/>
              </w:rPr>
              <w:t>项目绩效目标表</w:t>
            </w:r>
          </w:p>
        </w:tc>
      </w:tr>
      <w:tr>
        <w:trPr>
          <w:trHeight w:val="315"/>
        </w:trPr>
        <w:tc>
          <w:tcPr>
            <w:gridSpan w:val="7"/>
            <w:tcBorders>
              <w:top w:val="nil"/>
              <w:left w:val="nil"/>
              <w:bottom w:val="nil"/>
              <w:right w:val="nil"/>
            </w:tcBorders>
            <w:shd w:val="clear" w:color="auto" w:fill="auto"/>
            <w:noWrap/>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（2023年度）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5"/>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海关关税征管业务费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2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6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24.55</w:t>
            </w:r>
          </w:p>
        </w:tc>
        <w:tc>
          <w:tcPr>
            <w:tcW w:w="1475" w:type="dxa"/>
            <w:vMerge w:val="restart"/>
            <w:tcBorders>
              <w:top w:val="nil"/>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24.55</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1462"/>
        </w:trPr>
        <w:tc>
          <w:tcPr>
            <w:tcW w:w="818" w:type="dxa"/>
            <w:tcBorders>
              <w:top w:val="nil"/>
              <w:left w:val="single" w:sz="4" w:space="0" w:color="000000"/>
              <w:bottom w:val="nil"/>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6"/>
            <w:tcBorders>
              <w:top w:val="single" w:sz="4" w:space="0" w:color="000000"/>
              <w:left w:val="nil"/>
              <w:bottom w:val="nil"/>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目标1：优化综合治税长效机制，完成年度税收预算目标；</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目标2：强化税收风险防控，打击价格、归类等瞒骗行为；</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目标3：落实国家各项进出口税收优惠政策，促进企业降本增效。</w:t>
            </w:r>
          </w:p>
        </w:tc>
      </w:tr>
      <w:tr>
        <w:trPr>
          <w:trHeight w:val="646"/>
        </w:trPr>
        <w:tc>
          <w:tcPr>
            <w:tcW w:w="818" w:type="dxa"/>
            <w:vMerge w:val="restart"/>
            <w:tcBorders>
              <w:top w:val="single" w:sz="4" w:space="0" w:color="auto"/>
              <w:left w:val="single" w:sz="4" w:space="0" w:color="auto"/>
              <w:bottom w:val="single" w:sz="4" w:space="0" w:color="000000"/>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701"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2976" w:type="dxa"/>
            <w:gridSpan w:val="2"/>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134"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555"/>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tcBorders>
              <w:top w:val="nil"/>
              <w:left w:val="nil"/>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成本指标</w:t>
            </w: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经济成本</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人均培训成本</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≤550元/人/天</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407"/>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val="restart"/>
            <w:tcBorders>
              <w:top w:val="nil"/>
              <w:left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p>
            <w:pPr>
              <w:jc w:val="center"/>
              <w:textAlignment w:val="center"/>
              <w:rPr>
                <w:rFonts w:ascii="宋体" w:eastAsia="宋体" w:cs="宋体"/>
                <w:color w:val="000000"/>
                <w:kern w:val="0"/>
                <w:sz w:val="22"/>
              </w:rPr>
            </w:p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税政调整建议</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=20份</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399"/>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审价、归类补税</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≥2亿元</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392"/>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课题研究报告</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≥1份</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412"/>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培训合格率</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≥95%</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555"/>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right w:val="single" w:sz="4" w:space="0" w:color="auto"/>
            </w:tcBorders>
            <w:shd w:val="clear" w:color="auto" w:fill="auto"/>
            <w:tcMar>
              <w:top w:w="17" w:type="dxa"/>
              <w:left w:w="17" w:type="dxa"/>
              <w:right w:w="17" w:type="dxa"/>
            </w:tcMar>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规范申报率</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4.0</w:t>
            </w:r>
          </w:p>
        </w:tc>
      </w:tr>
      <w:tr>
        <w:trPr>
          <w:trHeight w:val="456"/>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bottom w:val="single" w:sz="4" w:space="0" w:color="auto"/>
              <w:right w:val="single" w:sz="4" w:space="0" w:color="auto"/>
            </w:tcBorders>
            <w:shd w:val="clear" w:color="auto" w:fill="auto"/>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时效指标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年内课题结题率</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≥95%</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4.0</w:t>
            </w:r>
          </w:p>
        </w:tc>
      </w:tr>
      <w:tr>
        <w:trPr>
          <w:trHeight w:val="518"/>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val="restart"/>
            <w:tcBorders>
              <w:top w:val="single" w:sz="4" w:space="0" w:color="auto"/>
              <w:left w:val="single" w:sz="4" w:space="0" w:color="auto"/>
              <w:right w:val="single" w:sz="4" w:space="0" w:color="auto"/>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经济效益指标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实征税款</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≥500亿</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4.0</w:t>
            </w:r>
          </w:p>
        </w:tc>
      </w:tr>
      <w:tr>
        <w:trPr>
          <w:trHeight w:val="439"/>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bottom w:val="single" w:sz="4" w:space="0" w:color="auto"/>
              <w:right w:val="single" w:sz="4" w:space="0" w:color="auto"/>
            </w:tcBorders>
            <w:shd w:val="clear" w:color="auto" w:fill="auto"/>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减免、减让税款</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≥2亿</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4.0</w:t>
            </w:r>
          </w:p>
        </w:tc>
      </w:tr>
      <w:tr>
        <w:trPr>
          <w:trHeight w:val="439"/>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tcBorders>
              <w:top w:val="nil"/>
              <w:left w:val="single" w:sz="4" w:space="0" w:color="auto"/>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满意度</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服务对象</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满意度指标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抽样企业满意度</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≥95%</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bl>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tbl>
      <w:tblPr>
        <w:jc w:val="center"/>
        <w:tblW w:w="93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546"/>
        <w:gridCol w:w="2139"/>
        <w:gridCol w:w="851"/>
        <w:gridCol w:w="1275"/>
        <w:gridCol w:w="1475"/>
      </w:tblGrid>
      <w:tr>
        <w:trPr>
          <w:trHeight w:val="702"/>
        </w:trPr>
        <w:tc>
          <w:tcPr>
            <w:tcW w:w="9380" w:type="dxa"/>
            <w:gridSpan w:val="7"/>
            <w:tcBorders>
              <w:top w:val="nil"/>
              <w:left w:val="nil"/>
              <w:bottom w:val="nil"/>
              <w:right w:val="nil"/>
            </w:tcBorders>
            <w:shd w:val="clear" w:color="auto" w:fill="auto"/>
            <w:noWrap/>
            <w:vAlign w:val="center"/>
          </w:tcPr>
          <w:p>
            <w:pPr>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285"/>
        </w:trPr>
        <w:tc>
          <w:tcPr>
            <w:tcW w:w="9380" w:type="dxa"/>
            <w:gridSpan w:val="7"/>
            <w:tcBorders>
              <w:top w:val="nil"/>
              <w:left w:val="nil"/>
              <w:bottom w:val="nil"/>
              <w:right w:val="nil"/>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（2023年度）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5"/>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中国电子口岸建设运行经费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中华人民共和国大连海关</w:t>
            </w:r>
          </w:p>
        </w:tc>
        <w:tc>
          <w:tcPr>
            <w:tcW w:w="85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单位</w:t>
            </w:r>
          </w:p>
        </w:tc>
        <w:tc>
          <w:tcPr>
            <w:tcW w:w="275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65.72</w:t>
            </w:r>
          </w:p>
        </w:tc>
        <w:tc>
          <w:tcPr>
            <w:tcW w:w="1475"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65.72</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1185"/>
        </w:trPr>
        <w:tc>
          <w:tcPr>
            <w:tcW w:w="818" w:type="dxa"/>
            <w:tcBorders>
              <w:top w:val="nil"/>
              <w:left w:val="single" w:sz="4" w:space="0" w:color="000000"/>
              <w:bottom w:val="nil"/>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6"/>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开发运维电子口岸信息系统，向电子口岸用户提供入网、制发/更新卡、热线咨询、培训等服务，为电子口岸系统运行维护及数据处理提供技术支持和服务，保障电子口岸系统正常运行。</w:t>
            </w:r>
          </w:p>
        </w:tc>
      </w:tr>
      <w:tr>
        <w:trPr>
          <w:trHeight w:val="820"/>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保障客服坐席数（席）</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≥4席</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制发/更新卡数量（张）</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≥5000张</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话务量（次）</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≥10000次</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运维信息系统（个）</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=1个</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系统故障率</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热线接通率（%）</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时效指标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热线接通平均等待时长（分钟）</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≤2分</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经济效益</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企业咨询一次性解决率（%）</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为企业通关提供便利</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是</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w:t>
            </w:r>
          </w:p>
        </w:tc>
      </w:tr>
    </w:tbl>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tbl>
      <w:tblPr>
        <w:jc w:val="center"/>
        <w:tblW w:w="9380" w:type="dxa"/>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
      <w:tblGrid>
        <w:gridCol w:w="818"/>
        <w:gridCol w:w="1276"/>
        <w:gridCol w:w="1701"/>
        <w:gridCol w:w="1701"/>
        <w:gridCol w:w="1275"/>
        <w:gridCol w:w="1134"/>
        <w:gridCol w:w="1475"/>
      </w:tblGrid>
      <w:tr>
        <w:trPr>
          <w:trHeight w:val="702"/>
        </w:trPr>
        <w:tc>
          <w:tcPr>
            <w:tcW w:w="9380" w:type="dxa"/>
            <w:gridSpan w:val="7"/>
            <w:tcBorders>
              <w:top w:val="nil"/>
              <w:left w:val="nil"/>
              <w:bottom w:val="nil"/>
              <w:right w:val="nil"/>
            </w:tcBorders>
            <w:shd w:val="clear" w:color="auto" w:fill="auto"/>
            <w:noWrap/>
            <w:tcMar>
              <w:top w:w="17" w:type="dxa"/>
              <w:left w:w="17" w:type="dxa"/>
              <w:right w:w="17" w:type="dxa"/>
            </w:tcMar>
            <w:vAlign w:val="center"/>
          </w:tcPr>
          <w:p>
            <w:pPr>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gridSpan w:val="7"/>
            <w:tcBorders>
              <w:top w:val="nil"/>
              <w:left w:val="nil"/>
              <w:bottom w:val="nil"/>
              <w:right w:val="nil"/>
            </w:tcBorders>
            <w:shd w:val="clear" w:color="auto" w:fill="auto"/>
            <w:noWrap/>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（2023年度）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5"/>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监管查验技术设备购建及能力提升专项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2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6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188.82</w:t>
            </w:r>
          </w:p>
        </w:tc>
        <w:tc>
          <w:tcPr>
            <w:tcW w:w="1475" w:type="dxa"/>
            <w:vMerge w:val="restart"/>
            <w:tcBorders>
              <w:top w:val="nil"/>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188.82</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1808"/>
        </w:trPr>
        <w:tc>
          <w:tcPr>
            <w:tcW w:w="818" w:type="dxa"/>
            <w:tcBorders>
              <w:top w:val="nil"/>
              <w:left w:val="single" w:sz="4" w:space="0" w:color="000000"/>
              <w:bottom w:val="nil"/>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6"/>
            <w:tcBorders>
              <w:top w:val="single" w:sz="4" w:space="0" w:color="000000"/>
              <w:left w:val="nil"/>
              <w:bottom w:val="nil"/>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1、关区设备运行稳定，确保监管装备正常可用，有效支撑进出口（境）监管工作正常进行；</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2、购置监管查验技术设备，规范人工查验作业流程，防控查验作业风险，保障一线关员人身安全，提高查验工作效能和通关便利化水平；</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3、提高口岸运转效率和通关速度，服务地方经济发展； </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4、开展反恐业务培训，提升口岸反恐能力。</w:t>
            </w:r>
          </w:p>
        </w:tc>
      </w:tr>
      <w:tr>
        <w:trPr>
          <w:trHeight w:val="646"/>
        </w:trPr>
        <w:tc>
          <w:tcPr>
            <w:tcW w:w="818" w:type="dxa"/>
            <w:vMerge w:val="restart"/>
            <w:tcBorders>
              <w:top w:val="single" w:sz="4" w:space="0" w:color="auto"/>
              <w:left w:val="single" w:sz="4" w:space="0" w:color="auto"/>
              <w:bottom w:val="single" w:sz="4" w:space="0" w:color="000000"/>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701"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2976" w:type="dxa"/>
            <w:gridSpan w:val="2"/>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134"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407"/>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val="restart"/>
            <w:tcBorders>
              <w:top w:val="nil"/>
              <w:left w:val="single" w:sz="4" w:space="0" w:color="auto"/>
              <w:right w:val="single" w:sz="4" w:space="0" w:color="auto"/>
            </w:tcBorders>
            <w:shd w:val="clear" w:color="auto" w:fill="auto"/>
            <w:tcMar>
              <w:top w:w="17" w:type="dxa"/>
              <w:left w:w="17" w:type="dxa"/>
              <w:right w:w="17" w:type="dxa"/>
            </w:tcMar>
            <w:vAlign w:val="center"/>
          </w:tcPr>
          <w:p>
            <w:pPr>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购置现场监管设备</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≥8台</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407"/>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right w:val="single" w:sz="4" w:space="0" w:color="auto"/>
            </w:tcBorders>
            <w:shd w:val="clear" w:color="auto" w:fill="auto"/>
            <w:tcMar>
              <w:top w:w="17" w:type="dxa"/>
              <w:left w:w="17" w:type="dxa"/>
              <w:right w:w="17" w:type="dxa"/>
            </w:tcMar>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组织开展口岸反恐模拟演练（次）</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≥1次</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399"/>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H986、CT机等大型监管查验设备全年正常运行率（%）</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15.0</w:t>
            </w:r>
          </w:p>
        </w:tc>
      </w:tr>
      <w:tr>
        <w:trPr>
          <w:trHeight w:val="392"/>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按时完成维保</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15.0</w:t>
            </w:r>
          </w:p>
        </w:tc>
      </w:tr>
      <w:tr>
        <w:trPr>
          <w:trHeight w:val="412"/>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bottom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p>
        </w:tc>
      </w:tr>
      <w:tr>
        <w:trPr>
          <w:trHeight w:val="555"/>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val="restart"/>
            <w:tcBorders>
              <w:top w:val="nil"/>
              <w:left w:val="single" w:sz="4" w:space="0" w:color="auto"/>
              <w:bottom w:val="single" w:sz="4" w:space="0" w:color="auto"/>
              <w:right w:val="single" w:sz="4" w:space="0" w:color="auto"/>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经济效益</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减少人力资源投入（相比纯工人检查）</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是</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8.0</w:t>
            </w:r>
          </w:p>
        </w:tc>
      </w:tr>
      <w:tr>
        <w:trPr>
          <w:trHeight w:val="456"/>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经济效益指标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降低企业通关成本</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是</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8.0</w:t>
            </w:r>
          </w:p>
        </w:tc>
      </w:tr>
      <w:tr>
        <w:trPr>
          <w:trHeight w:val="518"/>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口岸反恐效能</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提升</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8.0</w:t>
            </w:r>
          </w:p>
        </w:tc>
      </w:tr>
      <w:tr>
        <w:trPr>
          <w:trHeight w:val="439"/>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口岸营商环境优化，贸易便利化水平提升</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是</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8.0</w:t>
            </w:r>
          </w:p>
        </w:tc>
      </w:tr>
      <w:tr>
        <w:trPr>
          <w:trHeight w:val="439"/>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提升防范安全准入风险能力，维护国门安全</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是</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8.0</w:t>
            </w:r>
          </w:p>
        </w:tc>
      </w:tr>
    </w:tbl>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tbl>
      <w:tblPr>
        <w:jc w:val="center"/>
        <w:tblW w:w="93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546"/>
        <w:gridCol w:w="2139"/>
        <w:gridCol w:w="851"/>
        <w:gridCol w:w="1275"/>
        <w:gridCol w:w="1475"/>
      </w:tblGrid>
      <w:tr>
        <w:trPr>
          <w:trHeight w:val="702"/>
        </w:trPr>
        <w:tc>
          <w:tcPr>
            <w:tcW w:w="9380" w:type="dxa"/>
            <w:gridSpan w:val="7"/>
            <w:tcBorders>
              <w:top w:val="nil"/>
              <w:left w:val="nil"/>
              <w:bottom w:val="nil"/>
              <w:right w:val="nil"/>
            </w:tcBorders>
            <w:shd w:val="clear" w:color="auto" w:fill="auto"/>
            <w:noWrap/>
            <w:vAlign w:val="center"/>
          </w:tcPr>
          <w:p>
            <w:pPr>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285"/>
        </w:trPr>
        <w:tc>
          <w:tcPr>
            <w:tcW w:w="9380" w:type="dxa"/>
            <w:gridSpan w:val="7"/>
            <w:tcBorders>
              <w:top w:val="nil"/>
              <w:left w:val="nil"/>
              <w:bottom w:val="nil"/>
              <w:right w:val="nil"/>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（2023年度）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5"/>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口岸公共卫生安全专项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中华人民共和国大连海关</w:t>
            </w:r>
          </w:p>
        </w:tc>
        <w:tc>
          <w:tcPr>
            <w:tcW w:w="85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单位</w:t>
            </w:r>
          </w:p>
        </w:tc>
        <w:tc>
          <w:tcPr>
            <w:tcW w:w="275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60.90</w:t>
            </w:r>
          </w:p>
        </w:tc>
        <w:tc>
          <w:tcPr>
            <w:tcW w:w="1475"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60.90</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3036"/>
        </w:trPr>
        <w:tc>
          <w:tcPr>
            <w:tcW w:w="818" w:type="dxa"/>
            <w:tcBorders>
              <w:top w:val="nil"/>
              <w:left w:val="single" w:sz="4" w:space="0" w:color="000000"/>
              <w:bottom w:val="nil"/>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6"/>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目标1：为重点口岸配备重大烈性传染病快速筛查设备，提高传染病筛查准确性，缩短筛查时间。</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目标2：购买疫苗、试剂等，满足日常工作需要。</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目标3：对高风险特殊物品准入风险进行评估，做出风险研判，为及时有效应对提供支撑。</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目标4：在重点区域开展病媒生物病原体监测，防止重点区域重大烈性传染病传入传出。                   </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目标5：需要密切关注国内外疫病疫情发展变化，结合关区实际，适时开展疫情研判和预警评估，提高疫病疫情防控的有效性和针对性。                                                                           </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目标6：开展重大传染病的防控宣传工作，提高出入境人员和社会公众的防控意识和防控能力。</w:t>
            </w:r>
          </w:p>
        </w:tc>
      </w:tr>
      <w:tr>
        <w:trPr>
          <w:trHeight w:val="820"/>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高风险特殊物品准入风险评估（次）</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≥2次</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疫情风险监测与评估（次）</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≥3次</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重大烈性传染病应对处置演练（次）</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≥1次</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口岸传染病疫情风险评估（次）</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≥2次</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传染病防控宣传（次）</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≥1次</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高风险特殊物品风险评估比率（%）</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时效指标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重点区域病媒生物病原体监测按期完成率（%）</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时效指标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高风险特殊物品准入风险评估按期完成率（%）</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时效指标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《全国口岸食品安全抽检计划》年度完成率（%）</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国际重大烈性传染病防控</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有效</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w:t>
            </w:r>
          </w:p>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299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高风险特殊物品风险防控</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有效</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20.0</w:t>
            </w:r>
          </w:p>
        </w:tc>
      </w:tr>
    </w:tbl>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tbl>
      <w:tblPr>
        <w:jc w:val="center"/>
        <w:tblW w:w="93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191"/>
        <w:gridCol w:w="2494"/>
        <w:gridCol w:w="1049"/>
        <w:gridCol w:w="426"/>
        <w:gridCol w:w="1134"/>
        <w:gridCol w:w="992"/>
      </w:tblGrid>
      <w:tr>
        <w:trPr>
          <w:trHeight w:val="702"/>
        </w:trPr>
        <w:tc>
          <w:tcPr>
            <w:tcW w:w="9380" w:type="dxa"/>
            <w:gridSpan w:val="8"/>
            <w:tcBorders>
              <w:top w:val="nil"/>
              <w:left w:val="nil"/>
              <w:bottom w:val="nil"/>
              <w:right w:val="nil"/>
            </w:tcBorders>
            <w:shd w:val="clear" w:color="auto" w:fill="auto"/>
            <w:noWrap/>
            <w:vAlign w:val="center"/>
          </w:tcPr>
          <w:p>
            <w:pPr>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tcW w:w="9380" w:type="dxa"/>
            <w:gridSpan w:val="8"/>
            <w:tcBorders>
              <w:top w:val="nil"/>
              <w:left w:val="nil"/>
              <w:bottom w:val="nil"/>
              <w:right w:val="nil"/>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（2023年度）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6"/>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进出口食品及化妆品安全专项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475"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76.15</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76.15</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2475"/>
        </w:trPr>
        <w:tc>
          <w:tcPr>
            <w:tcW w:w="818" w:type="dxa"/>
            <w:tcBorders>
              <w:top w:val="nil"/>
              <w:left w:val="single" w:sz="4" w:space="0" w:color="000000"/>
              <w:bottom w:val="nil"/>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7"/>
            <w:tcBorders>
              <w:top w:val="single" w:sz="4" w:space="0" w:color="000000"/>
              <w:left w:val="nil"/>
              <w:bottom w:val="nil"/>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中国特色进出口食品安全监管体系基本建立，进出口食品安全保障能力基本满足我国进出口食品贸易的需要，确保不发生区域性、系统性进出口食品安全问题，进出口食品安全监管基本达到国际主要食品贸易伙伴的水平，进出口食品安全国际共治格局基本形成，服务国家战略工作形成机制。</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1．进出口食品安全突发事件处置及时得当。</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2．进出口食品安全监督管理工作任务有效完成。</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3．食品安全监管人员培训有效开展</w:t>
            </w:r>
          </w:p>
        </w:tc>
      </w:tr>
      <w:tr>
        <w:trPr>
          <w:trHeight w:val="810"/>
        </w:trPr>
        <w:tc>
          <w:tcPr>
            <w:tcW w:w="818" w:type="dxa"/>
            <w:vMerge w:val="restart"/>
            <w:tcBorders>
              <w:top w:val="single" w:sz="4" w:space="0" w:color="auto"/>
              <w:left w:val="single" w:sz="4" w:space="0" w:color="auto"/>
              <w:bottom w:val="nil"/>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191"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543"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992"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对当年进境动植物源性食品检验审批完成率（%）</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≥80%</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对执行管理部门通报的重大食品安全事件处置率（%）</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≥80%</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食品安全监管人员参训率（%）</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≥80%</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组织进出口食品安全监管岗位培训（次）</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≥2次</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宣传活动次数</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≥1次</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完成年度食品化妆品安全检测任务（%）</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培训合格率</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≥80%</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组织制定关区内年度进出口食品化妆品监督抽检和风险监测计划（%）</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开展食品安全宣传周活动</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有效</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30.0</w:t>
            </w:r>
          </w:p>
        </w:tc>
      </w:tr>
      <w:tr>
        <w:trPr>
          <w:trHeight w:val="679"/>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满意度</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服务对象满意度指标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培训人员满意度</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≥80%</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bl>
    <w:p>
      <w:pPr>
        <w:widowControl/>
        <w:spacing w:line="240" w:lineRule="atLeast"/>
        <w:jc w:val="center"/>
        <w:rPr>
          <w:szCs w:val="3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tbl>
      <w:tblPr>
        <w:jc w:val="center"/>
        <w:tblW w:w="93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191"/>
        <w:gridCol w:w="2494"/>
        <w:gridCol w:w="1049"/>
        <w:gridCol w:w="426"/>
        <w:gridCol w:w="1134"/>
        <w:gridCol w:w="992"/>
      </w:tblGrid>
      <w:tr>
        <w:trPr>
          <w:trHeight w:val="702"/>
        </w:trPr>
        <w:tc>
          <w:tcPr>
            <w:tcW w:w="9380" w:type="dxa"/>
            <w:gridSpan w:val="8"/>
            <w:tcBorders>
              <w:top w:val="nil"/>
              <w:left w:val="nil"/>
              <w:bottom w:val="nil"/>
              <w:right w:val="nil"/>
            </w:tcBorders>
            <w:shd w:val="clear" w:color="auto" w:fill="auto"/>
            <w:noWrap/>
            <w:vAlign w:val="center"/>
          </w:tcPr>
          <w:p>
            <w:pPr>
              <w:widowControl/>
              <w:jc w:val="center"/>
              <w:rPr>
                <w:rFonts w:ascii="方正黑体_GBK" w:eastAsia="方正黑体_GBK"/>
                <w:kern w:val="0"/>
                <w:szCs w:val="32"/>
              </w:rPr>
            </w:pPr>
            <w:r>
              <w:rPr>
                <w:rFonts w:ascii="方正黑体_GBK" w:eastAsia="方正黑体_GBK" w:hint="eastAsia"/>
                <w:kern w:val="0"/>
                <w:szCs w:val="32"/>
              </w:rPr>
              <w:t>目绩效目标表</w:t>
            </w:r>
          </w:p>
        </w:tc>
      </w:tr>
      <w:tr>
        <w:trPr>
          <w:trHeight w:val="315"/>
        </w:trPr>
        <w:tc>
          <w:tcPr>
            <w:tcW w:w="9380" w:type="dxa"/>
            <w:gridSpan w:val="8"/>
            <w:tcBorders>
              <w:top w:val="nil"/>
              <w:left w:val="nil"/>
              <w:bottom w:val="nil"/>
              <w:right w:val="nil"/>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（2023年度）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6"/>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国门生物安全专项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475"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73.00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73.00</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2475"/>
        </w:trPr>
        <w:tc>
          <w:tcPr>
            <w:tcW w:w="818" w:type="dxa"/>
            <w:tcBorders>
              <w:top w:val="nil"/>
              <w:left w:val="single" w:sz="4" w:space="0" w:color="000000"/>
              <w:bottom w:val="nil"/>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7"/>
            <w:tcBorders>
              <w:top w:val="single" w:sz="4" w:space="0" w:color="000000"/>
              <w:left w:val="nil"/>
              <w:bottom w:val="nil"/>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1：进一步夯实国门生物安全保障能力基础，促进国门生物安全保障能力持续提升。完成年度进出境动植物检验检疫各项工作任务，稳步推进各项改革事项，有效控制重大动植物疫情疫病和有毒有害物质传入传出，有效保障农林牧渔业生产安全、人民群众生命健康安全和生态安全。</w:t>
            </w:r>
          </w:p>
        </w:tc>
      </w:tr>
      <w:tr>
        <w:trPr>
          <w:trHeight w:val="810"/>
        </w:trPr>
        <w:tc>
          <w:tcPr>
            <w:tcW w:w="818" w:type="dxa"/>
            <w:vMerge w:val="restart"/>
            <w:tcBorders>
              <w:top w:val="single" w:sz="4" w:space="0" w:color="auto"/>
              <w:left w:val="single" w:sz="4" w:space="0" w:color="auto"/>
              <w:bottom w:val="nil"/>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191"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543"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992"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开展国门生物安全培训或宣传次数（次）</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≥3次</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进出口食用农产品和饲料安全风险监控计划完成率</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≥95%</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进出境动物疫病监控计划完成率</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≥95%</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外来有害生物监测计划完成率</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≥95%</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企业投诉反馈率</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≥95%</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15.0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重大突发检验检疫问题处理案件处理率</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≥98%</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15.0</w:t>
            </w:r>
          </w:p>
        </w:tc>
      </w:tr>
      <w:tr>
        <w:trPr>
          <w:trHeight w:val="679"/>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满意度</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1191"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服务对象满意度指标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服务企业对象满意度</w:t>
            </w:r>
          </w:p>
        </w:tc>
        <w:tc>
          <w:tcPr>
            <w:tcW w:w="1560" w:type="dxa"/>
            <w:gridSpan w:val="2"/>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≥95%</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bl>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p>
      <w:pPr>
        <w:widowControl/>
        <w:overflowPunct/>
        <w:spacing w:line="240" w:lineRule="auto"/>
        <w:ind w:firstLineChars="0" w:firstLine="0"/>
        <w:jc w:val="center"/>
        <w:textAlignment w:val="center"/>
        <w:rPr>
          <w:rFonts w:ascii="宋体" w:eastAsia="宋体" w:cs="宋体"/>
          <w:color w:val="000000"/>
          <w:kern w:val="0"/>
          <w:sz w:val="22"/>
        </w:rPr>
      </w:pPr>
    </w:p>
    <w:tbl>
      <w:tblPr>
        <w:jc w:val="center"/>
        <w:tblW w:w="93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417"/>
        <w:gridCol w:w="1985"/>
        <w:gridCol w:w="1134"/>
        <w:gridCol w:w="1275"/>
        <w:gridCol w:w="1475"/>
      </w:tblGrid>
      <w:tr>
        <w:trPr>
          <w:trHeight w:val="993"/>
        </w:trPr>
        <w:tc>
          <w:tcPr>
            <w:tcW w:w="9380" w:type="dxa"/>
            <w:gridSpan w:val="7"/>
            <w:tcBorders>
              <w:top w:val="nil"/>
              <w:left w:val="nil"/>
              <w:bottom w:val="nil"/>
              <w:right w:val="nil"/>
            </w:tcBorders>
            <w:shd w:val="clear" w:color="auto" w:fill="auto"/>
            <w:noWrap/>
            <w:vAlign w:val="center"/>
          </w:tcPr>
          <w:p>
            <w:pPr>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tcW w:w="9380" w:type="dxa"/>
            <w:gridSpan w:val="7"/>
            <w:tcBorders>
              <w:top w:val="nil"/>
              <w:left w:val="nil"/>
              <w:bottom w:val="nil"/>
              <w:right w:val="nil"/>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（2023年度）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5"/>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企业管理及稽查专项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134"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75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409"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48.13</w:t>
            </w:r>
          </w:p>
        </w:tc>
        <w:tc>
          <w:tcPr>
            <w:tcW w:w="1475"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409"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48.13</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409"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2"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409"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2178"/>
        </w:trPr>
        <w:tc>
          <w:tcPr>
            <w:tcW w:w="818" w:type="dxa"/>
            <w:tcBorders>
              <w:top w:val="nil"/>
              <w:left w:val="single" w:sz="4" w:space="0" w:color="000000"/>
              <w:bottom w:val="nil"/>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6"/>
            <w:tcBorders>
              <w:top w:val="single" w:sz="4" w:space="0" w:color="000000"/>
              <w:left w:val="nil"/>
              <w:bottom w:val="nil"/>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目标1：开展企管、保税监管、稽查核查等方面的调研活动，组织和参加集中工作 </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目标2：开展企管、保税监管、稽查核查等，让企管业务人员掌握最新的政策与技术，满足监管执法需要。</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目标3：中介机构协助海关稽查核查，提高海关稽查水平，稽查有效率提高。</w:t>
              <w:tab/>
              <w:tab/>
              <w:tab/>
              <w:tab/>
            </w:r>
          </w:p>
        </w:tc>
      </w:tr>
      <w:tr>
        <w:trPr>
          <w:trHeight w:val="840"/>
        </w:trPr>
        <w:tc>
          <w:tcPr>
            <w:tcW w:w="8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417"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275"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555"/>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成本指标</w:t>
            </w:r>
          </w:p>
        </w:tc>
        <w:tc>
          <w:tcPr>
            <w:tcW w:w="141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经济成本指标</w:t>
            </w: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引入中介机构稽核查平均成本（万元）</w:t>
            </w:r>
          </w:p>
        </w:tc>
        <w:tc>
          <w:tcPr>
            <w:tcW w:w="12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≤5万</w:t>
            </w:r>
          </w:p>
        </w:tc>
        <w:tc>
          <w:tcPr>
            <w:tcW w:w="14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555"/>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经济成本指标</w:t>
            </w: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专项稽查付费标准</w:t>
            </w:r>
          </w:p>
        </w:tc>
        <w:tc>
          <w:tcPr>
            <w:tcW w:w="12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≤4万</w:t>
            </w:r>
          </w:p>
        </w:tc>
        <w:tc>
          <w:tcPr>
            <w:tcW w:w="14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555"/>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经济成本指标</w:t>
            </w: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人均调研成本</w:t>
            </w:r>
          </w:p>
        </w:tc>
        <w:tc>
          <w:tcPr>
            <w:tcW w:w="12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≤2万</w:t>
            </w:r>
          </w:p>
        </w:tc>
        <w:tc>
          <w:tcPr>
            <w:tcW w:w="14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555"/>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41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开展引入中介协助稽核查作业数</w:t>
            </w:r>
          </w:p>
        </w:tc>
        <w:tc>
          <w:tcPr>
            <w:tcW w:w="12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≥5次</w:t>
            </w:r>
          </w:p>
        </w:tc>
        <w:tc>
          <w:tcPr>
            <w:tcW w:w="14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555"/>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开展集中工作次数</w:t>
            </w:r>
          </w:p>
        </w:tc>
        <w:tc>
          <w:tcPr>
            <w:tcW w:w="12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≥2次</w:t>
            </w:r>
          </w:p>
        </w:tc>
        <w:tc>
          <w:tcPr>
            <w:tcW w:w="14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555"/>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引入中介机构协助稽查投入产出比（%）</w:t>
            </w:r>
          </w:p>
        </w:tc>
        <w:tc>
          <w:tcPr>
            <w:tcW w:w="12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≥6.67倍</w:t>
            </w:r>
          </w:p>
        </w:tc>
        <w:tc>
          <w:tcPr>
            <w:tcW w:w="14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555"/>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时效指标</w:t>
            </w: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核查作业按期完成</w:t>
            </w:r>
          </w:p>
        </w:tc>
        <w:tc>
          <w:tcPr>
            <w:tcW w:w="12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是</w:t>
            </w:r>
          </w:p>
        </w:tc>
        <w:tc>
          <w:tcPr>
            <w:tcW w:w="14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555"/>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41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提高稽查作业查发率</w:t>
            </w:r>
          </w:p>
        </w:tc>
        <w:tc>
          <w:tcPr>
            <w:tcW w:w="12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≥70%</w:t>
            </w:r>
          </w:p>
        </w:tc>
        <w:tc>
          <w:tcPr>
            <w:tcW w:w="14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439"/>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p>
        </w:tc>
        <w:tc>
          <w:tcPr>
            <w:tcW w:w="12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p>
        </w:tc>
        <w:tc>
          <w:tcPr>
            <w:tcW w:w="14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p>
        </w:tc>
      </w:tr>
      <w:tr>
        <w:trPr>
          <w:trHeight w:val="439"/>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满意度</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141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服务对象</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满意度指标</w:t>
            </w: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作业使用单位对中介满意度</w:t>
            </w:r>
          </w:p>
        </w:tc>
        <w:tc>
          <w:tcPr>
            <w:tcW w:w="12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≥80%</w:t>
            </w:r>
          </w:p>
        </w:tc>
        <w:tc>
          <w:tcPr>
            <w:tcW w:w="1475"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bl>
    <w:p>
      <w:pPr>
        <w:widowControl/>
        <w:overflowPunct/>
        <w:spacing w:line="240" w:lineRule="auto"/>
        <w:ind w:firstLineChars="0" w:firstLine="0"/>
        <w:jc w:val="left"/>
        <w:textAlignment w:val="center"/>
        <w:rPr>
          <w:rFonts w:ascii="宋体" w:eastAsia="宋体" w:cs="宋体"/>
          <w:color w:val="000000"/>
          <w:kern w:val="0"/>
          <w:sz w:val="22"/>
        </w:rPr>
      </w:pPr>
    </w:p>
    <w:p>
      <w:pPr>
        <w:widowControl/>
        <w:overflowPunct/>
        <w:spacing w:line="240" w:lineRule="auto"/>
        <w:ind w:firstLineChars="0" w:firstLine="0"/>
        <w:jc w:val="left"/>
        <w:textAlignment w:val="center"/>
        <w:rPr>
          <w:rFonts w:ascii="宋体" w:eastAsia="宋体" w:cs="宋体"/>
          <w:color w:val="000000"/>
          <w:kern w:val="0"/>
          <w:sz w:val="22"/>
        </w:rPr>
      </w:pPr>
    </w:p>
    <w:tbl>
      <w:tblPr>
        <w:jc w:val="center"/>
        <w:tblW w:w="886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6"/>
        <w:gridCol w:w="1276"/>
        <w:gridCol w:w="1417"/>
        <w:gridCol w:w="1991"/>
        <w:gridCol w:w="993"/>
        <w:gridCol w:w="1275"/>
        <w:gridCol w:w="1475"/>
      </w:tblGrid>
      <w:tr>
        <w:trPr>
          <w:trHeight w:val="702"/>
        </w:trPr>
        <w:tc>
          <w:tcPr>
            <w:tcW w:w="8863" w:type="dxa"/>
            <w:gridSpan w:val="7"/>
            <w:tcBorders>
              <w:top w:val="nil"/>
              <w:left w:val="nil"/>
              <w:bottom w:val="nil"/>
              <w:right w:val="nil"/>
            </w:tcBorders>
            <w:shd w:val="clear" w:color="auto" w:fill="auto"/>
            <w:noWrap/>
            <w:vAlign w:val="center"/>
          </w:tcPr>
          <w:p>
            <w:pPr>
              <w:widowControl/>
              <w:jc w:val="center"/>
              <w:rPr>
                <w:rFonts w:ascii="方正黑体_GBK" w:eastAsia="方正黑体_GBK"/>
                <w:kern w:val="0"/>
                <w:szCs w:val="32"/>
              </w:rPr>
            </w:pPr>
            <w:r>
              <w:br w:type="page"/>
            </w:r>
            <w:r>
              <w:rPr>
                <w:rFonts w:ascii="方正黑体_GBK" w:eastAsia="方正黑体_GBK" w:hint="eastAsia"/>
                <w:kern w:val="0"/>
                <w:szCs w:val="32"/>
              </w:rPr>
              <w:t>项目绩效目标表</w:t>
            </w:r>
          </w:p>
        </w:tc>
      </w:tr>
      <w:tr>
        <w:trPr>
          <w:trHeight w:val="315"/>
        </w:trPr>
        <w:tc>
          <w:tcPr>
            <w:tcW w:w="8863" w:type="dxa"/>
            <w:gridSpan w:val="7"/>
            <w:tcBorders>
              <w:top w:val="nil"/>
              <w:left w:val="nil"/>
              <w:bottom w:val="nil"/>
              <w:right w:val="nil"/>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（2023年度）</w:t>
            </w:r>
          </w:p>
        </w:tc>
      </w:tr>
      <w:tr>
        <w:trPr>
          <w:trHeight w:val="439"/>
        </w:trPr>
        <w:tc>
          <w:tcPr>
            <w:tcW w:w="17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151" w:type="dxa"/>
            <w:gridSpan w:val="5"/>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缉私警察业务费</w:t>
            </w:r>
          </w:p>
        </w:tc>
      </w:tr>
      <w:tr>
        <w:trPr>
          <w:trHeight w:val="630"/>
        </w:trPr>
        <w:tc>
          <w:tcPr>
            <w:tcW w:w="171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408"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993"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75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171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408"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932.71.00</w:t>
            </w:r>
          </w:p>
        </w:tc>
        <w:tc>
          <w:tcPr>
            <w:tcW w:w="1475"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1712"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8"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896.33.00</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1712"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8"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36.38</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1712"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8"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p>
        </w:tc>
        <w:tc>
          <w:tcPr>
            <w:tcW w:w="1475" w:type="dxa"/>
            <w:vMerge/>
            <w:tcBorders>
              <w:top w:val="nil"/>
              <w:left w:val="single" w:sz="4" w:space="0" w:color="000000"/>
              <w:bottom w:val="single" w:sz="4" w:space="0" w:color="000000"/>
              <w:right w:val="single" w:sz="4" w:space="0" w:color="000000"/>
            </w:tcBorders>
            <w:vAlign w:val="center"/>
          </w:tcPr>
          <w:p/>
        </w:tc>
      </w:tr>
      <w:tr>
        <w:trPr>
          <w:trHeight w:val="2685"/>
        </w:trPr>
        <w:tc>
          <w:tcPr>
            <w:tcW w:w="436" w:type="dxa"/>
            <w:tcBorders>
              <w:top w:val="nil"/>
              <w:left w:val="single" w:sz="4" w:space="0" w:color="000000"/>
              <w:bottom w:val="nil"/>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427" w:type="dxa"/>
            <w:gridSpan w:val="6"/>
            <w:tcBorders>
              <w:top w:val="single" w:sz="4" w:space="0" w:color="000000"/>
              <w:left w:val="nil"/>
              <w:bottom w:val="nil"/>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1、完善现有大要案查缉模式，选有一定具有代表性的专案进行案件经营，成熟后成案，争取有1-2个挂牌管理案件。</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2、建立“打、防、管、建”一体化工作格局，发挥“一局两能”职能作用，提高关区案件查发能力，推动战区作战模式建立，实现区域刑事执法的统一性。</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3、结合实战加大培训力度，提高全体打私能力水平提升，持续展开重点领域专项打击，保持打击走私高压态势。</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4、购买情报侦查设备与服务软件，邀请具有专业资质的社会企业，进行专题情报分析研究；通过情报调研和情报专题分析等工作，及时掌握关区缉私动态，为打击走私服务。</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5、与其他情报部门和有关单位有偿交流、交换情况资料的费用，对提供重要情报信息的非海关、公安机关的单位及有关人员给予一定奖励。</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6、做好局内、关内和社会毒品培训和宣传工作，充分利用缉毒犬侦办毒品案件；侦办毒品案件达到一定规模，结案率达到80％。</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7、培养特定数目的特情人员，完成局党组交给的情报秘密力量建设任务；完成对提供重要情报信息的非海关、公安机关的单位及有关人员的奖金或奖品的任务。</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8、更新符合国家公务用车配备标准车辆，提高缉私执法执勤用车整体保障水平。</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9、深化综合治理，拓展合作渠道，进一步做好缉私大要案侦办工作，维持打击走私高压态势，有效震慑走私犯罪行为。</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10、满足缉私办案行动中查扣货物存储、运输、鉴定等相关费用。</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11、保障大要案缉私办案各项经费。</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12、完成支付大连市公安局看守所和大连市公安局经济技术开发区分局羁押人员费用。</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13、做好大连海关缉私犬技术工作的正常运行与维护，保障缉私犬及时、有效出警。</w:t>
            </w:r>
          </w:p>
        </w:tc>
      </w:tr>
      <w:tr>
        <w:trPr>
          <w:trHeight w:val="840"/>
        </w:trPr>
        <w:tc>
          <w:tcPr>
            <w:tcW w:w="43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417"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2984"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275"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429"/>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84"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完成各类案件数</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≥2000起</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421"/>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84"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保障缉私警察人数（人）</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≥10人</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555"/>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84"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保障缉私机构数（个）</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≥1个</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3.0</w:t>
            </w:r>
          </w:p>
        </w:tc>
      </w:tr>
      <w:tr>
        <w:trPr>
          <w:trHeight w:val="437"/>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84"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保障服役缉私犬数量（只）</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≥4只</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w:t>
            </w:r>
          </w:p>
        </w:tc>
      </w:tr>
      <w:tr>
        <w:trPr>
          <w:trHeight w:val="414"/>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2984"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办案经费保障率</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≥95%</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555"/>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2984"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犬队缉私犬月平均出警次数（次）</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≥2次</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444"/>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时效指标</w:t>
            </w:r>
          </w:p>
        </w:tc>
        <w:tc>
          <w:tcPr>
            <w:tcW w:w="2984"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特情完成线索时间提升</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≥30%</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444"/>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时效指标</w:t>
            </w:r>
          </w:p>
        </w:tc>
        <w:tc>
          <w:tcPr>
            <w:tcW w:w="2984"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办案效率提升（比近三年平均值）</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439"/>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auto"/>
              <w:right w:val="single" w:sz="4" w:space="0" w:color="auto"/>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时效指标</w:t>
            </w:r>
          </w:p>
        </w:tc>
        <w:tc>
          <w:tcPr>
            <w:tcW w:w="2984"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缉私犬训练频次（次/月）</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22次</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439"/>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val="restart"/>
            <w:tcBorders>
              <w:top w:val="nil"/>
              <w:left w:val="nil"/>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满意度指标</w:t>
            </w: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2984"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保障海关缉私工作正常开展，提高打私能力，保护人民群众财产安全。</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有效</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439"/>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nil"/>
              <w:bottom w:val="single" w:sz="4" w:space="0" w:color="auto"/>
              <w:right w:val="single" w:sz="4" w:space="0" w:color="auto"/>
            </w:tcBorders>
            <w:shd w:val="clear" w:color="auto" w:fill="auto"/>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2984"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缉私工作基础保障能力</w:t>
            </w:r>
          </w:p>
        </w:tc>
        <w:tc>
          <w:tcPr>
            <w:tcW w:w="12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稳定</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bl>
    <w:p>
      <w:pPr>
        <w:widowControl/>
        <w:overflowPunct/>
        <w:spacing w:line="240" w:lineRule="auto"/>
        <w:ind w:firstLineChars="0" w:firstLine="0"/>
        <w:jc w:val="left"/>
        <w:textAlignment w:val="center"/>
        <w:rPr>
          <w:rFonts w:ascii="宋体" w:eastAsia="宋体" w:cs="宋体"/>
          <w:color w:val="000000"/>
          <w:kern w:val="0"/>
          <w:sz w:val="22"/>
        </w:rPr>
      </w:pPr>
    </w:p>
    <w:tbl>
      <w:tblPr>
        <w:jc w:val="center"/>
        <w:tblW w:w="93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417"/>
        <w:gridCol w:w="2268"/>
        <w:gridCol w:w="992"/>
        <w:gridCol w:w="1134"/>
        <w:gridCol w:w="1475"/>
      </w:tblGrid>
      <w:tr>
        <w:trPr>
          <w:trHeight w:val="702"/>
        </w:trPr>
        <w:tc>
          <w:tcPr>
            <w:tcW w:w="9380" w:type="dxa"/>
            <w:gridSpan w:val="7"/>
            <w:tcBorders>
              <w:top w:val="nil"/>
              <w:left w:val="nil"/>
              <w:bottom w:val="nil"/>
              <w:right w:val="nil"/>
            </w:tcBorders>
            <w:shd w:val="clear" w:color="auto" w:fill="auto"/>
            <w:noWrap/>
            <w:vAlign w:val="center"/>
          </w:tcPr>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p>
          <w:p>
            <w:pPr>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tcW w:w="9380" w:type="dxa"/>
            <w:gridSpan w:val="7"/>
            <w:tcBorders>
              <w:top w:val="nil"/>
              <w:left w:val="nil"/>
              <w:bottom w:val="nil"/>
              <w:right w:val="nil"/>
            </w:tcBorders>
            <w:shd w:val="clear" w:color="auto" w:fill="auto"/>
            <w:noWrap/>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（2023年度）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5"/>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缉私部门计算机网络运行维护</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992"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609"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158.00</w:t>
            </w:r>
          </w:p>
        </w:tc>
        <w:tc>
          <w:tcPr>
            <w:tcW w:w="1475"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158.00</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2475"/>
        </w:trPr>
        <w:tc>
          <w:tcPr>
            <w:tcW w:w="818" w:type="dxa"/>
            <w:tcBorders>
              <w:top w:val="nil"/>
              <w:left w:val="single" w:sz="4" w:space="0" w:color="000000"/>
              <w:bottom w:val="nil"/>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6"/>
            <w:tcBorders>
              <w:top w:val="single" w:sz="4" w:space="0" w:color="000000"/>
              <w:left w:val="nil"/>
              <w:bottom w:val="nil"/>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1.利用单兵系统专用网络及流量卡，充分发挥单兵设备的优势，广泛利用单兵设备覆盖大连海关缉私局辖区，做到作战指挥实时到位、现场画面实时回传，对案件侦办提供强有力的支持。</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2.利用边海防视频专网，加强对丹东地区、大连地区涉边、涉C等重点区域的监管和控制，为案件的侦破助力。</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3.充分发挥公安网的优势，通过公安网与总署缉私局、各直属局、辽宁省公安厅、大连市公安局实现互联互通，并利用公安网的相关数据协助案件侦破。</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4.完善无线办公机制，将在疫情期间使用无线办公召开部分相关会议，减少接触的经验融合到无线办公的使用上去，尽可能发挥无线办公的作用，提高办公效率。</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5.以电子取证、数据上传为目的，提高情报专线的承载量，利用大数据辅助办案。</w:t>
            </w:r>
          </w:p>
        </w:tc>
      </w:tr>
      <w:tr>
        <w:trPr>
          <w:trHeight w:val="810"/>
        </w:trPr>
        <w:tc>
          <w:tcPr>
            <w:tcW w:w="818" w:type="dxa"/>
            <w:vMerge w:val="restart"/>
            <w:tcBorders>
              <w:top w:val="single" w:sz="4" w:space="0" w:color="auto"/>
              <w:left w:val="single" w:sz="4" w:space="0" w:color="auto"/>
              <w:bottom w:val="nil"/>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417"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260"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134"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软、硬件配置完成率（%）</w:t>
            </w:r>
          </w:p>
        </w:tc>
        <w:tc>
          <w:tcPr>
            <w:tcW w:w="1134"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≥95%</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网络、流量接入完成率（%）</w:t>
            </w:r>
          </w:p>
        </w:tc>
        <w:tc>
          <w:tcPr>
            <w:tcW w:w="1134"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≥95%</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硬件、软件完好率</w:t>
            </w:r>
          </w:p>
        </w:tc>
        <w:tc>
          <w:tcPr>
            <w:tcW w:w="1134"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≥80%</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tcBorders>
              <w:top w:val="nil"/>
              <w:left w:val="single" w:sz="4" w:space="0" w:color="000000"/>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业务保障能力提升</w:t>
            </w:r>
          </w:p>
        </w:tc>
        <w:tc>
          <w:tcPr>
            <w:tcW w:w="1134"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有效</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30.0</w:t>
            </w:r>
          </w:p>
        </w:tc>
      </w:tr>
      <w:tr>
        <w:trPr>
          <w:trHeight w:val="679"/>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满意度</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1417"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服务对象</w:t>
            </w:r>
          </w:p>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满意度指标</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缉私民警对信息化工作满意度</w:t>
            </w:r>
          </w:p>
        </w:tc>
        <w:tc>
          <w:tcPr>
            <w:tcW w:w="1134"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≥95%</w:t>
            </w:r>
          </w:p>
        </w:tc>
        <w:tc>
          <w:tcPr>
            <w:tcW w:w="1475" w:type="dxa"/>
            <w:tcBorders>
              <w:top w:val="nil"/>
              <w:left w:val="nil"/>
              <w:bottom w:val="single" w:sz="4" w:space="0" w:color="000000"/>
              <w:right w:val="single" w:sz="4" w:space="0" w:color="000000"/>
            </w:tcBorders>
            <w:shd w:val="clear" w:color="auto" w:fill="auto"/>
            <w:vAlign w:val="center"/>
          </w:tcPr>
          <w:p>
            <w:pPr>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bl>
    <w:p>
      <w:pPr>
        <w:widowControl/>
        <w:overflowPunct/>
        <w:spacing w:line="240" w:lineRule="auto"/>
        <w:ind w:firstLineChars="0" w:firstLine="0"/>
        <w:jc w:val="left"/>
        <w:textAlignment w:val="center"/>
        <w:rPr>
          <w:rFonts w:ascii="宋体" w:eastAsia="宋体" w:cs="宋体"/>
          <w:color w:val="000000"/>
          <w:kern w:val="0"/>
          <w:sz w:val="22"/>
        </w:rPr>
      </w:pPr>
    </w:p>
    <w:p>
      <w:pPr>
        <w:widowControl/>
        <w:overflowPunct/>
        <w:spacing w:line="240" w:lineRule="auto"/>
        <w:ind w:firstLineChars="0" w:firstLine="0"/>
        <w:jc w:val="left"/>
        <w:textAlignment w:val="center"/>
        <w:rPr>
          <w:rFonts w:ascii="宋体" w:eastAsia="宋体" w:cs="宋体"/>
          <w:color w:val="000000"/>
          <w:kern w:val="0"/>
          <w:sz w:val="22"/>
        </w:rPr>
      </w:pPr>
    </w:p>
    <w:sectPr>
      <w:pgSz w:w="11906" w:h="16838"/>
      <w:pgMar w:top="1440" w:right="1800" w:bottom="1440" w:left="1800" w:header="851" w:footer="992" w:gutter="0"/>
      <w:docGrid w:type="lines" w:linePitch="435" w:charSpace="0"/>
    </w:sectPr>
  </w:body>
</w:document>
</file>

<file path=word/fontTable.xml><?xml version="1.0" encoding="utf-8"?>
<w:fonts xmlns:w="http://schemas.openxmlformats.org/wordprocessingml/2006/main" xmlns:r="http://schemas.openxmlformats.org/officeDocument/2006/relationships">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等线">
    <w:altName w:val="Arial Unicode MS"/>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等线 Light">
    <w:altName w:val="Arial Unicode MS"/>
    <w:panose1 w:val="02010600030101010101"/>
    <w:charset w:val="86"/>
    <w:family w:val="auto"/>
    <w:pitch w:val="variable"/>
    <w:sig w:usb0="A00002BF" w:usb1="38CF7CFA" w:usb2="00000016" w:usb3="00000000" w:csb0="0004000F" w:csb1="00000000"/>
  </w:font>
  <w:font w:name="方正楷体_GBK">
    <w:panose1 w:val="03000509000000000000"/>
    <w:charset w:val="86"/>
    <w:family w:val="script"/>
    <w:pitch w:val="variable"/>
    <w:sig w:usb0="00000001" w:usb1="080E0000" w:usb2="0000001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6"/>
      </w:tabs>
      <w:ind w:firstLineChars="0" w:firstLine="0"/>
      <w:jc w:val="center"/>
      <w:rPr>
        <w:sz w:val="28"/>
        <w:szCs w:val="28"/>
      </w:rPr>
    </w:pPr>
    <w:r>
      <w:rPr>
        <w:sz w:val="28"/>
        <w:szCs w:val="28"/>
      </w:rPr>
      <w:fldChar w:fldCharType="begin"/>
    </w:r>
    <w:r>
      <w:rPr>
        <w:sz w:val="28"/>
        <w:szCs w:val="28"/>
      </w:rPr>
      <w:instrText>PAGE   \* MERGEFORMAT</w:instrText>
    </w:r>
    <w:r>
      <w:rPr>
        <w:sz w:val="28"/>
        <w:szCs w:val="28"/>
      </w:rPr>
      <w:fldChar w:fldCharType="separate"/>
    </w:r>
    <w:r>
      <w:rPr>
        <w:sz w:val="28"/>
        <w:szCs w:val="28"/>
        <w:lang w:val="zh-CN"/>
      </w:rPr>
      <w:t>28</w:t>
    </w:r>
    <w:r>
      <w:rPr>
        <w:sz w:val="28"/>
        <w:szCs w:val="28"/>
      </w:rPr>
      <w:fldChar w:fldCharType="end"/>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0"/>
  <w:bordersDoNotSurroundHeader/>
  <w:bordersDoNotSurroundFooter/>
  <w:defaultTabStop w:val="420"/>
  <w:drawingGridHorizontalSpacing w:val="160"/>
  <w:drawingGridVerticalSpacing w:val="435"/>
  <w:displayHorizontalDrawingGridEvery w:val="0"/>
  <w:displayVerticalDrawingGridEvery w:val="1"/>
  <w:characterSpacingControl w:val="compressPunctuation"/>
  <w:savePreviewPicture/>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等线 Light" w:eastAsia="等线 Light" w:cs="Times New Roman"/>
      <w:b/>
      <w:bCs/>
      <w:szCs w:val="32"/>
    </w:rPr>
  </w:style>
  <w:style w:type="character" w:default="1" w:styleId="10">
    <w:name w:val="Default Paragraph Font"/>
  </w:style>
  <w:style w:type="paragraph" w:styleId="15">
    <w:name w:val="annotation text"/>
    <w:basedOn w:val="0"/>
    <w:pPr>
      <w:jc w:val="left"/>
    </w:pPr>
  </w:style>
  <w:style w:type="paragraph" w:styleId="16">
    <w:name w:val="footer"/>
    <w:basedOn w:val="0"/>
    <w:pPr>
      <w:tabs>
        <w:tab w:val="center" w:pos="4153"/>
        <w:tab w:val="right" w:pos="8306"/>
      </w:tabs>
      <w:snapToGrid w:val="0"/>
      <w:spacing w:line="240" w:lineRule="atLeast"/>
      <w:jc w:val="left"/>
    </w:pPr>
    <w:rPr>
      <w:sz w:val="18"/>
      <w:szCs w:val="18"/>
    </w:rPr>
  </w:style>
  <w:style w:type="paragraph" w:styleId="17">
    <w:name w:val="header"/>
    <w:basedOn w:val="0"/>
    <w:pPr>
      <w:pBdr>
        <w:bottom w:val="single" w:sz="6" w:space="1" w:color="auto"/>
      </w:pBdr>
      <w:tabs>
        <w:tab w:val="center" w:pos="4153"/>
        <w:tab w:val="right" w:pos="8306"/>
      </w:tabs>
      <w:snapToGrid w:val="0"/>
      <w:spacing w:line="240" w:lineRule="atLeast"/>
      <w:jc w:val="center"/>
    </w:pPr>
    <w:rPr>
      <w:sz w:val="18"/>
      <w:szCs w:val="18"/>
    </w:rPr>
  </w:style>
  <w:style w:type="paragraph" w:styleId="18">
    <w:name w:val="Title"/>
    <w:basedOn w:val="0"/>
    <w:next w:val="0"/>
    <w:pPr>
      <w:spacing w:before="240" w:after="60"/>
      <w:jc w:val="center"/>
      <w:outlineLvl w:val="0"/>
    </w:pPr>
    <w:rPr>
      <w:rFonts w:ascii="等线 Light" w:eastAsia="等线 Light" w:cs="Times New Roman"/>
      <w:b/>
      <w:bCs/>
      <w:szCs w:val="32"/>
    </w:rPr>
  </w:style>
  <w:style w:type="paragraph" w:styleId="19">
    <w:name w:val="annotation subject"/>
    <w:basedOn w:val="15"/>
    <w:next w:val="15"/>
    <w:rPr>
      <w:b/>
      <w:bCs/>
    </w:rPr>
  </w:style>
  <w:style w:type="character" w:styleId="20">
    <w:name w:val="annotation reference"/>
    <w:basedOn w:val="10"/>
    <w:rPr>
      <w:sz w:val="21"/>
      <w:szCs w:val="21"/>
    </w:rPr>
  </w:style>
  <w:style w:type="paragraph" w:customStyle="1" w:styleId="21">
    <w:name w:val="大标题"/>
    <w:basedOn w:val="18"/>
    <w:pPr>
      <w:spacing w:before="0" w:after="0" w:line="760" w:lineRule="exact"/>
      <w:ind w:firstLineChars="0" w:firstLine="0"/>
    </w:pPr>
    <w:rPr>
      <w:rFonts w:ascii="方正小标宋_GBK" w:eastAsia="方正小标宋_GBK"/>
      <w:b w:val="0"/>
      <w:sz w:val="44"/>
      <w:szCs w:val="44"/>
    </w:rPr>
  </w:style>
  <w:style w:type="paragraph" w:customStyle="1" w:styleId="22">
    <w:name w:val="1级标题"/>
    <w:basedOn w:val="1"/>
    <w:pPr>
      <w:spacing w:before="0" w:after="0" w:line="560" w:lineRule="exact"/>
    </w:pPr>
    <w:rPr>
      <w:rFonts w:ascii="方正黑体_GBK" w:eastAsia="方正黑体_GBK"/>
      <w:b w:val="0"/>
      <w:sz w:val="32"/>
      <w:szCs w:val="32"/>
    </w:rPr>
  </w:style>
  <w:style w:type="paragraph" w:customStyle="1" w:styleId="23">
    <w:name w:val="2级标题"/>
    <w:basedOn w:val="2"/>
    <w:pPr>
      <w:spacing w:before="0" w:after="0" w:line="560" w:lineRule="exact"/>
    </w:pPr>
    <w:rPr>
      <w:rFonts w:ascii="方正楷体_GBK" w:eastAsia="方正楷体_GBK"/>
      <w:b w:val="0"/>
    </w:rPr>
  </w:style>
  <w:style w:type="paragraph" w:customStyle="1" w:styleId="24">
    <w:name w:val="列出段落1"/>
    <w:basedOn w:val="0"/>
  </w:style>
  <w:style w:type="paragraph" w:styleId="25">
    <w:name w:val="Balloon Text"/>
    <w:basedOn w:val="0"/>
    <w:pPr>
      <w:spacing w:line="240" w:lineRule="auto"/>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image" Target="media/2.png"/><Relationship Id="rId6" Type="http://schemas.openxmlformats.org/officeDocument/2006/relationships/image" Target="media/5.png"/><Relationship Id="rId7" Type="http://schemas.openxmlformats.org/officeDocument/2006/relationships/image" Target="media/8.png"/><Relationship Id="rId8" Type="http://schemas.openxmlformats.org/officeDocument/2006/relationships/image" Target="media/11.png"/><Relationship Id="rId9" Type="http://schemas.openxmlformats.org/officeDocument/2006/relationships/image" Target="media/14.png"/><Relationship Id="rId10" Type="http://schemas.openxmlformats.org/officeDocument/2006/relationships/styles" Target="styles.xml"/><Relationship Id="rId11" Type="http://schemas.openxmlformats.org/officeDocument/2006/relationships/fontTable" Target="fontTable.xml"/></Relationships>
</file>

<file path=docProps/app.xml><?xml version="1.0" encoding="utf-8"?>
<Properties xmlns="http://schemas.openxmlformats.org/officeDocument/2006/extended-properties">
  <Template>Normal.eit</Template>
  <TotalTime>1982</TotalTime>
  <Application>Yozo_Office</Application>
  <Pages>60</Pages>
  <Words>14849</Words>
  <Characters>20018</Characters>
  <Lines>3364</Lines>
  <Paragraphs>1941</Paragraphs>
  <CharactersWithSpaces>21144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崔 伟</dc:creator>
  <cp:lastModifiedBy>胡楠</cp:lastModifiedBy>
  <cp:revision>48</cp:revision>
  <cp:lastPrinted>2023-05-08T01:46:00Z</cp:lastPrinted>
  <dcterms:created xsi:type="dcterms:W3CDTF">2023-05-09T03:02:00Z</dcterms:created>
  <dcterms:modified xsi:type="dcterms:W3CDTF">2024-06-14T03:50:14Z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2052-11.1.0.14309</vt:lpwstr>
  </property>
  <property fmtid="{D5CDD505-2E9C-101B-9397-08002B2CF9AE}" pid="3" name="ICV">
    <vt:lpwstr>779FD8FC52974E7395DE6C52FBD2BBAD_12</vt:lpwstr>
  </property>
</Properties>
</file>