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123"/>
        <w:spacing w:line="580" w:lineRule="exact"/>
        <w:ind w:firstLine="0"/>
        <w:rPr>
          <w:rFonts w:ascii="方正小标宋_GBK" w:eastAsia="方正小标宋_GBK" w:cs="方正小标宋_GBK" w:hint="eastAsia"/>
          <w:sz w:val="44"/>
          <w:szCs w:val="44"/>
          <w:lang w:bidi="ar-SA"/>
        </w:rPr>
      </w:pPr>
      <w:bookmarkStart w:id="0" w:name="wpds__正文__File"/>
    </w:p>
    <w:p>
      <w:pPr>
        <w:pStyle w:val="123"/>
        <w:spacing w:line="580" w:lineRule="exact"/>
        <w:ind w:firstLine="0"/>
        <w:jc w:val="center"/>
        <w:rPr>
          <w:rFonts w:ascii="方正小标宋_GBK" w:eastAsia="方正小标宋_GBK" w:cs="方正小标宋_GBK" w:hint="eastAsia"/>
          <w:color w:val="auto"/>
          <w:sz w:val="44"/>
          <w:szCs w:val="44"/>
          <w:lang w:bidi="ar-SA"/>
        </w:rPr>
      </w:pPr>
      <w:r>
        <w:rPr>
          <w:rFonts w:ascii="方正小标宋_GBK" w:eastAsia="方正小标宋_GBK" w:cs="方正小标宋_GBK" w:hint="eastAsia"/>
          <w:sz w:val="44"/>
          <w:szCs w:val="44"/>
          <w:lang w:bidi="ar-SA"/>
        </w:rPr>
        <w:t>鲅</w:t>
      </w:r>
      <w:r>
        <w:rPr>
          <w:rFonts w:ascii="方正小标宋_GBK" w:eastAsia="方正小标宋_GBK" w:cs="方正小标宋_GBK" w:hint="eastAsia"/>
          <w:color w:val="auto"/>
          <w:sz w:val="44"/>
          <w:szCs w:val="44"/>
          <w:lang w:bidi="ar-SA"/>
        </w:rPr>
        <w:t>鱼圈海关202</w:t>
      </w:r>
      <w:r>
        <w:rPr>
          <w:rFonts w:ascii="方正小标宋_GBK" w:eastAsia="方正小标宋_GBK" w:cs="方正小标宋_GBK" w:hint="eastAsia"/>
          <w:color w:val="auto"/>
          <w:sz w:val="44"/>
          <w:szCs w:val="44"/>
          <w:lang w:val="en-US" w:eastAsia="zh-CN" w:bidi="ar-SA"/>
        </w:rPr>
        <w:t>5</w:t>
      </w:r>
      <w:r>
        <w:rPr>
          <w:rFonts w:ascii="方正小标宋_GBK" w:eastAsia="方正小标宋_GBK" w:cs="方正小标宋_GBK" w:hint="eastAsia"/>
          <w:color w:val="auto"/>
          <w:sz w:val="44"/>
          <w:szCs w:val="44"/>
          <w:lang w:bidi="ar-SA"/>
        </w:rPr>
        <w:t>年政府信息公开工作年度报告</w:t>
      </w:r>
    </w:p>
    <w:p>
      <w:pPr>
        <w:pStyle w:val="92"/>
        <w:widowControl/>
        <w:shd w:val="clear" w:color="auto" w:fill="FFFFFF"/>
        <w:adjustRightInd w:val="0"/>
        <w:snapToGrid w:val="0"/>
        <w:spacing w:beforeAutospacing="0" w:afterAutospacing="0" w:line="560" w:lineRule="exact"/>
        <w:ind w:firstLineChars="200" w:firstLine="632"/>
        <w:jc w:val="both"/>
        <w:rPr>
          <w:rFonts w:ascii="方正黑体_GBK" w:eastAsia="方正黑体_GBK" w:cs="楷体_GB2312" w:hint="eastAsia"/>
          <w:bCs/>
          <w:color w:val="auto"/>
          <w:sz w:val="32"/>
          <w:szCs w:val="32"/>
          <w:shd w:val="clear" w:color="auto" w:fill="FFFFFF"/>
          <w:lang w:bidi="ar-SA"/>
        </w:rPr>
      </w:pPr>
    </w:p>
    <w:p>
      <w:pPr>
        <w:pStyle w:val="28"/>
        <w:shd w:val="clear" w:color="auto" w:fill="FFFFFF"/>
        <w:adjustRightInd w:val="0"/>
        <w:snapToGrid w:val="0"/>
        <w:spacing w:line="560" w:lineRule="exact"/>
        <w:ind w:left="0" w:firstLineChars="200" w:firstLine="632"/>
        <w:rPr>
          <w:rFonts w:ascii="Times New Roman" w:eastAsia="方正仿宋_GBK" w:cs="Times New Roman" w:hAnsi="Times New Roman"/>
          <w:bCs/>
          <w:color w:val="auto"/>
          <w:sz w:val="32"/>
          <w:szCs w:val="32"/>
          <w:shd w:val="clear" w:color="auto" w:fill="FFFFFF"/>
          <w:lang w:bidi="ar-SA"/>
        </w:rPr>
      </w:pPr>
      <w:r>
        <w:rPr>
          <w:rFonts w:hint="eastAsia"/>
          <w:lang w:bidi="ar-SA"/>
        </w:rPr>
        <w:t>本报告根据《中华人民共和国政府信息公开条例》（国务院令</w:t>
      </w:r>
      <w:r>
        <w:rPr>
          <w:lang w:bidi="ar-SA"/>
        </w:rPr>
        <w:t>第711</w:t>
      </w:r>
      <w:r>
        <w:rPr>
          <w:rFonts w:hint="eastAsia"/>
          <w:lang w:bidi="ar-SA"/>
        </w:rPr>
        <w:t>号）和《国务院办公厅政府信息与政务公开办公室关于印发〈中华人民共和国政府信息公开工作年度报告格式〉的通知》（国办公开办函〔</w:t>
      </w:r>
      <w:r>
        <w:rPr>
          <w:lang w:bidi="ar-SA"/>
        </w:rPr>
        <w:t>2021</w:t>
      </w:r>
      <w:r>
        <w:rPr>
          <w:rFonts w:hint="eastAsia"/>
          <w:lang w:bidi="ar-SA"/>
        </w:rPr>
        <w:t>〕</w:t>
      </w:r>
      <w:r>
        <w:rPr>
          <w:lang w:bidi="ar-SA"/>
        </w:rPr>
        <w:t>30</w:t>
      </w:r>
      <w:r>
        <w:rPr>
          <w:rFonts w:hint="eastAsia"/>
          <w:lang w:bidi="ar-SA"/>
        </w:rPr>
        <w:t>号）要求，梳理</w:t>
      </w:r>
      <w:r>
        <w:rPr>
          <w:lang w:bidi="ar-SA"/>
        </w:rPr>
        <w:t>2025</w:t>
      </w:r>
      <w:r>
        <w:rPr>
          <w:rFonts w:hint="eastAsia"/>
          <w:lang w:bidi="ar-SA"/>
        </w:rPr>
        <w:t>年年度</w:t>
      </w:r>
      <w:r>
        <w:rPr>
          <w:lang w:bidi="ar-SA"/>
        </w:rPr>
        <w:t>鲅鱼圈</w:t>
      </w:r>
      <w:r>
        <w:rPr>
          <w:rFonts w:hint="eastAsia"/>
          <w:lang w:bidi="ar-SA"/>
        </w:rPr>
        <w:t>海关政府信息公开工作情况编制而成。年报中所列数据的统计期限，自</w:t>
      </w:r>
      <w:r>
        <w:rPr>
          <w:lang w:bidi="ar-SA"/>
        </w:rPr>
        <w:t>2025年1月1日起</w:t>
      </w:r>
      <w:r>
        <w:rPr>
          <w:rFonts w:hint="eastAsia"/>
          <w:lang w:bidi="ar-SA"/>
        </w:rPr>
        <w:t>至</w:t>
      </w:r>
      <w:r>
        <w:rPr>
          <w:lang w:bidi="ar-SA"/>
        </w:rPr>
        <w:t>2025年12月31</w:t>
      </w:r>
      <w:r>
        <w:rPr>
          <w:rFonts w:hint="eastAsia"/>
          <w:lang w:bidi="ar-SA"/>
        </w:rPr>
        <w:t>日止。如对报告有意见、建议，请联系</w:t>
      </w:r>
      <w:r>
        <w:rPr>
          <w:lang w:bidi="ar-SA"/>
        </w:rPr>
        <w:t>鲅鱼圈海关</w:t>
      </w:r>
      <w:r>
        <w:rPr>
          <w:rFonts w:hint="eastAsia"/>
          <w:lang w:bidi="ar-SA"/>
        </w:rPr>
        <w:t>办公室，地址：</w:t>
      </w:r>
      <w:r>
        <w:rPr>
          <w:lang w:bidi="ar-SA"/>
        </w:rPr>
        <w:t>辽宁省</w:t>
      </w:r>
      <w:r>
        <w:rPr>
          <w:rFonts w:hint="eastAsia"/>
          <w:lang w:bidi="ar-SA"/>
        </w:rPr>
        <w:t>营口市鲅鱼圈区</w:t>
      </w:r>
      <w:r>
        <w:rPr>
          <w:lang w:bidi="ar-SA"/>
        </w:rPr>
        <w:t>平安西街</w:t>
      </w:r>
      <w:r>
        <w:rPr>
          <w:rFonts w:hint="eastAsia"/>
          <w:lang w:bidi="ar-SA"/>
        </w:rPr>
        <w:t>海华路9号，邮编：</w:t>
      </w:r>
      <w:r>
        <w:rPr>
          <w:lang w:bidi="ar-SA"/>
        </w:rPr>
        <w:t>115007</w:t>
      </w:r>
      <w:r>
        <w:rPr>
          <w:rFonts w:hint="eastAsia"/>
          <w:lang w:bidi="ar-SA"/>
        </w:rPr>
        <w:t>，电话：</w:t>
      </w:r>
      <w:r>
        <w:rPr>
          <w:lang w:bidi="ar-SA"/>
        </w:rPr>
        <w:t>0417-6295202</w:t>
      </w:r>
      <w:r>
        <w:rPr>
          <w:rFonts w:hint="eastAsia"/>
          <w:lang w:bidi="ar-SA"/>
        </w:rPr>
        <w:t>；电子邮箱：</w:t>
      </w:r>
      <w:r>
        <w:rPr>
          <w:lang w:bidi="ar-SA"/>
        </w:rPr>
        <w:t>byqzwgk@163.com</w:t>
      </w:r>
      <w:r>
        <w:rPr>
          <w:rFonts w:hint="eastAsia"/>
          <w:lang w:bidi="ar-SA"/>
        </w:rPr>
        <w:t>。</w:t>
      </w:r>
    </w:p>
    <w:p>
      <w:pPr>
        <w:pStyle w:val="124"/>
        <w:widowControl/>
        <w:shd w:val="clear" w:color="auto" w:fill="FFFFFF"/>
        <w:adjustRightInd w:val="0"/>
        <w:snapToGrid w:val="0"/>
        <w:spacing w:beforeAutospacing="0" w:afterAutospacing="0" w:line="560" w:lineRule="exact"/>
        <w:ind w:left="0" w:firstLineChars="200" w:firstLine="632"/>
        <w:jc w:val="both"/>
        <w:rPr>
          <w:rFonts w:ascii="方正黑体_GBK" w:eastAsia="方正黑体_GBK" w:cs="楷体_GB2312" w:hint="eastAsia"/>
          <w:bCs/>
          <w:sz w:val="32"/>
          <w:szCs w:val="32"/>
          <w:lang w:bidi="ar-SA"/>
        </w:rPr>
      </w:pPr>
      <w:r>
        <w:rPr>
          <w:rFonts w:ascii="方正黑体_GBK" w:eastAsia="方正黑体_GBK" w:cs="楷体_GB2312" w:hint="eastAsia"/>
          <w:bCs/>
          <w:color w:val="auto"/>
          <w:sz w:val="32"/>
          <w:szCs w:val="32"/>
          <w:shd w:val="clear" w:color="auto" w:fill="FFFFFF"/>
          <w:lang w:bidi="ar-SA"/>
        </w:rPr>
        <w:t>一、总体情况</w:t>
      </w:r>
    </w:p>
    <w:p>
      <w:pPr>
        <w:pStyle w:val="125"/>
        <w:adjustRightInd w:val="0"/>
        <w:snapToGrid w:val="0"/>
        <w:spacing w:line="560" w:lineRule="exact"/>
        <w:ind w:firstLineChars="200" w:firstLine="632"/>
        <w:rPr>
          <w:rFonts w:ascii="Times New Roman" w:eastAsia="方正仿宋_GBK" w:hAnsi="Times New Roman"/>
          <w:sz w:val="32"/>
          <w:szCs w:val="32"/>
          <w:shd w:val="clear" w:color="auto" w:fill="FFFFFF"/>
          <w:lang w:val="en-US" w:eastAsia="zh-CN"/>
        </w:rPr>
      </w:pP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  <w:lang w:val="en-US" w:eastAsia="zh-CN"/>
        </w:rPr>
        <w:t>2025年，鲅鱼圈海关坚持以习近平新时代中国特色社会主义思想为指导，认真贯彻落实《中华人民共和国政府信息公开条例》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  <w:lang w:val="en-US" w:eastAsia="zh-CN"/>
        </w:rPr>
        <w:t>相关要求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  <w:lang w:val="en-US" w:eastAsia="zh-CN"/>
        </w:rPr>
        <w:t>，坚决执行海关总署、大连海关关于政府信息公开工作的工作部署，加大政府信息公开工作力度，提高依法行政水平，规范行政行为，及时、准确地向社会公开政府信息，保障公民知情权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  <w:lang w:val="en-US" w:eastAsia="zh-CN"/>
        </w:rPr>
        <w:t>、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  <w:lang w:val="en-US" w:eastAsia="zh-CN"/>
        </w:rPr>
        <w:t>参与权和监督权，确保政务信息公开工作高效开展。现将本年度工作情况报告如下：</w:t>
      </w:r>
    </w:p>
    <w:p>
      <w:pPr>
        <w:pStyle w:val="126"/>
        <w:adjustRightInd w:val="0"/>
        <w:snapToGrid w:val="0"/>
        <w:spacing w:line="560" w:lineRule="exact"/>
        <w:ind w:firstLineChars="200" w:firstLine="632"/>
        <w:rPr>
          <w:rFonts w:ascii="方正楷体_GBK" w:eastAsia="方正楷体_GBK" w:cs="方正楷体_GBK" w:hint="eastAsia"/>
          <w:b/>
          <w:bCs/>
          <w:sz w:val="32"/>
          <w:szCs w:val="32"/>
          <w:shd w:val="clear" w:color="auto" w:fill="FFFFFF"/>
          <w:lang w:bidi="ar-SA"/>
        </w:rPr>
      </w:pPr>
      <w:r>
        <w:rPr>
          <w:rFonts w:ascii="方正楷体_GBK" w:eastAsia="方正楷体_GBK" w:cs="方正楷体_GBK" w:hint="eastAsia"/>
          <w:b/>
          <w:bCs/>
          <w:sz w:val="32"/>
          <w:szCs w:val="32"/>
          <w:shd w:val="clear" w:color="auto" w:fill="FFFFFF"/>
          <w:lang w:bidi="ar-SA"/>
        </w:rPr>
        <w:t>（一）深化组织领导，筑牢政务公开基础</w:t>
      </w:r>
      <w:r>
        <w:rPr>
          <w:rFonts w:ascii="方正楷体_GBK" w:eastAsia="方正楷体_GBK" w:cs="方正楷体_GBK" w:hint="eastAsia"/>
          <w:b/>
          <w:bCs/>
          <w:sz w:val="32"/>
          <w:szCs w:val="32"/>
          <w:shd w:val="clear" w:color="auto" w:fill="FFFFFF"/>
          <w:lang w:bidi="ar-SA"/>
        </w:rPr>
        <w:t>。</w:t>
      </w:r>
    </w:p>
    <w:p>
      <w:pPr>
        <w:pStyle w:val="126"/>
        <w:adjustRightInd w:val="0"/>
        <w:snapToGrid w:val="0"/>
        <w:spacing w:line="560" w:lineRule="exact"/>
        <w:ind w:left="0" w:firstLineChars="200" w:firstLine="632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一是优化政务公开工作组织架构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  <w:lang w:eastAsia="zh-CN"/>
        </w:rPr>
        <w:t>，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  <w:lang w:val="en-US" w:eastAsia="zh-CN"/>
        </w:rPr>
        <w:t>完善政府信息公开工作机构，明确各科室部门承担的工作职责，确保政府信息公开工作高效顺畅。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二是严格执行信息发布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  <w:lang w:val="en-US" w:eastAsia="zh-CN"/>
        </w:rPr>
        <w:t>审核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制度，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  <w:lang w:val="en-US" w:eastAsia="zh-CN"/>
        </w:rPr>
        <w:t>将信息公开期限和公开方式及渠道纳入审核内容，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实现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法定公开事项主动公开到位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。</w:t>
      </w:r>
    </w:p>
    <w:p>
      <w:pPr>
        <w:pStyle w:val="126"/>
        <w:adjustRightInd w:val="0"/>
        <w:snapToGrid w:val="0"/>
        <w:spacing w:line="560" w:lineRule="exact"/>
        <w:ind w:firstLineChars="200" w:firstLine="632"/>
        <w:rPr>
          <w:rFonts w:ascii="方正楷体_GBK" w:eastAsia="方正楷体_GBK" w:cs="方正楷体_GBK" w:hint="eastAsia"/>
          <w:b/>
          <w:bCs/>
          <w:sz w:val="32"/>
          <w:szCs w:val="32"/>
          <w:shd w:val="clear" w:color="auto" w:fill="FFFFFF"/>
          <w:lang w:bidi="ar-SA"/>
        </w:rPr>
      </w:pPr>
      <w:r>
        <w:rPr>
          <w:rFonts w:ascii="方正楷体_GBK" w:eastAsia="方正楷体_GBK" w:cs="方正楷体_GBK" w:hint="eastAsia"/>
          <w:b/>
          <w:bCs/>
          <w:sz w:val="32"/>
          <w:szCs w:val="32"/>
          <w:shd w:val="clear" w:color="auto" w:fill="FFFFFF"/>
          <w:lang w:bidi="ar-SA"/>
        </w:rPr>
        <w:t>（二）完善制度体系，推动公开工作规范化</w:t>
      </w:r>
      <w:r>
        <w:rPr>
          <w:rFonts w:ascii="方正楷体_GBK" w:eastAsia="方正楷体_GBK" w:cs="方正楷体_GBK" w:hint="eastAsia"/>
          <w:b/>
          <w:bCs/>
          <w:sz w:val="32"/>
          <w:szCs w:val="32"/>
          <w:shd w:val="clear" w:color="auto" w:fill="FFFFFF"/>
          <w:lang w:bidi="ar-SA"/>
        </w:rPr>
        <w:t>。</w:t>
      </w:r>
    </w:p>
    <w:p>
      <w:pPr>
        <w:pStyle w:val="126"/>
        <w:adjustRightInd w:val="0"/>
        <w:snapToGrid w:val="0"/>
        <w:spacing w:line="560" w:lineRule="exact"/>
        <w:ind w:firstLineChars="200" w:firstLine="632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/>
          <w:sz w:val="32"/>
          <w:szCs w:val="32"/>
          <w:shd w:val="clear" w:color="auto" w:fill="FFFFFF"/>
          <w:lang w:val="en-US" w:eastAsia="zh-CN"/>
        </w:rPr>
        <w:t>持续完善政府信息公开工作相关制度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  <w:lang w:val="en-US" w:eastAsia="zh-CN"/>
        </w:rPr>
        <w:t>，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进一步细化信息发布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  <w:lang w:val="en-US" w:eastAsia="zh-CN"/>
        </w:rPr>
        <w:t>工作流程、办理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时限、内容标准、责任追究等关键环节，形成覆盖信息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  <w:lang w:val="en-US" w:eastAsia="zh-CN"/>
        </w:rPr>
        <w:t>接收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、审核、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  <w:lang w:val="en-US" w:eastAsia="zh-CN"/>
        </w:rPr>
        <w:t>办理、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发布、监督全流程的制度闭环，确保政务公开工作有章可循、有据可依。</w:t>
      </w:r>
    </w:p>
    <w:p>
      <w:pPr>
        <w:pStyle w:val="126"/>
        <w:adjustRightInd w:val="0"/>
        <w:snapToGrid w:val="0"/>
        <w:spacing w:line="560" w:lineRule="exact"/>
        <w:ind w:firstLineChars="200" w:firstLine="632"/>
        <w:rPr>
          <w:rFonts w:ascii="方正楷体_GBK" w:eastAsia="方正楷体_GBK" w:cs="方正楷体_GBK" w:hint="eastAsia"/>
          <w:b/>
          <w:bCs/>
          <w:sz w:val="32"/>
          <w:szCs w:val="32"/>
          <w:shd w:val="clear" w:color="auto" w:fill="FFFFFF"/>
          <w:lang w:val="en-US" w:eastAsia="zh-CN" w:bidi="ar-SA"/>
        </w:rPr>
      </w:pPr>
      <w:r>
        <w:rPr>
          <w:rFonts w:ascii="方正楷体_GBK" w:eastAsia="方正楷体_GBK" w:cs="方正楷体_GBK" w:hint="eastAsia"/>
          <w:b/>
          <w:bCs/>
          <w:sz w:val="32"/>
          <w:szCs w:val="32"/>
          <w:shd w:val="clear" w:color="auto" w:fill="FFFFFF"/>
          <w:lang w:bidi="ar-SA"/>
        </w:rPr>
        <w:t>（三）强化能力建设，</w:t>
      </w:r>
      <w:r>
        <w:rPr>
          <w:rFonts w:ascii="方正楷体_GBK" w:eastAsia="方正楷体_GBK" w:cs="方正楷体_GBK" w:hint="eastAsia"/>
          <w:b/>
          <w:bCs/>
          <w:sz w:val="32"/>
          <w:szCs w:val="32"/>
          <w:shd w:val="clear" w:color="auto" w:fill="FFFFFF"/>
          <w:lang w:val="en-US" w:eastAsia="zh-CN" w:bidi="ar-SA"/>
        </w:rPr>
        <w:t>做好日常管理工作</w:t>
      </w:r>
      <w:r>
        <w:rPr>
          <w:rFonts w:ascii="方正楷体_GBK" w:eastAsia="方正楷体_GBK" w:cs="方正楷体_GBK" w:hint="eastAsia"/>
          <w:b/>
          <w:bCs/>
          <w:sz w:val="32"/>
          <w:szCs w:val="32"/>
          <w:shd w:val="clear" w:color="auto" w:fill="FFFFFF"/>
          <w:lang w:val="en-US" w:eastAsia="zh-CN" w:bidi="ar-SA"/>
        </w:rPr>
        <w:t>。</w:t>
      </w:r>
    </w:p>
    <w:p>
      <w:pPr>
        <w:pStyle w:val="126"/>
        <w:adjustRightInd w:val="0"/>
        <w:snapToGrid w:val="0"/>
        <w:spacing w:line="560" w:lineRule="exact"/>
        <w:ind w:firstLineChars="200" w:firstLine="632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  <w:lang w:val="en-US" w:eastAsia="zh-CN"/>
        </w:rPr>
        <w:t>定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期组织开展海关公示信息督查检查，提醒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  <w:lang w:val="en-US" w:eastAsia="zh-CN"/>
        </w:rPr>
        <w:t>相关科室主动做好海关政策举措的对外发布，确保辖区企业能够第一时间掌握海关公告内容享受政策红利。安排专人负责政府信息公开工作，及时发布主动公开信息，认真做好依申请公开信息的接收和登记工作，确保政府公开信息办理高效运转，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  <w:lang w:eastAsia="zh-CN"/>
        </w:rPr>
        <w:t>实现“量”“质”并举。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  <w:lang w:val="en-US" w:eastAsia="zh-CN"/>
        </w:rPr>
        <w:t>组织部分岗位人员认真学习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  <w:lang w:val="en-US" w:eastAsia="zh-CN"/>
        </w:rPr>
        <w:t>相关文件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  <w:lang w:val="en-US" w:eastAsia="zh-CN"/>
        </w:rPr>
        <w:t>要求，重点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围绕信息公开条例解读、舆情应对技巧等内容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  <w:lang w:val="en-US" w:eastAsia="zh-CN"/>
        </w:rPr>
        <w:t>开展学习研讨，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有效提升政务公开队伍业务能力和专业水平。</w:t>
      </w:r>
    </w:p>
    <w:p>
      <w:pPr>
        <w:pStyle w:val="127"/>
        <w:widowControl/>
        <w:shd w:val="clear" w:color="auto" w:fill="FFFFFF"/>
        <w:spacing w:beforeAutospacing="0" w:afterAutospacing="0" w:line="560" w:lineRule="exact"/>
        <w:ind w:firstLineChars="200" w:firstLine="632"/>
        <w:jc w:val="both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/>
          <w:sz w:val="32"/>
          <w:szCs w:val="32"/>
          <w:shd w:val="clear" w:color="auto" w:fill="FFFFFF"/>
        </w:rPr>
        <w:t>202</w:t>
      </w:r>
      <w:r>
        <w:rPr>
          <w:rFonts w:eastAsia="方正仿宋_GBK" w:hint="eastAsia"/>
          <w:sz w:val="32"/>
          <w:szCs w:val="32"/>
          <w:shd w:val="clear" w:color="auto" w:fill="FFFFFF"/>
          <w:lang w:val="en-US" w:eastAsia="zh-CN"/>
        </w:rPr>
        <w:t>5</w:t>
      </w:r>
      <w:r>
        <w:rPr>
          <w:rFonts w:ascii="方正仿宋_GBK" w:eastAsia="方正仿宋_GBK" w:hint="eastAsia"/>
          <w:sz w:val="32"/>
          <w:szCs w:val="32"/>
          <w:shd w:val="clear" w:color="auto" w:fill="FFFFFF"/>
        </w:rPr>
        <w:t>年，鲅鱼圈海关通过各业务现场公示栏公示公告</w:t>
      </w:r>
      <w:r>
        <w:rPr>
          <w:rFonts w:eastAsia="方正仿宋_GBK" w:hint="eastAsia"/>
          <w:sz w:val="32"/>
          <w:szCs w:val="32"/>
          <w:shd w:val="clear" w:color="auto" w:fill="FFFFFF"/>
          <w:lang w:val="en-US" w:eastAsia="zh-CN"/>
        </w:rPr>
        <w:t>35</w:t>
      </w:r>
      <w:r>
        <w:rPr>
          <w:rFonts w:ascii="方正仿宋_GBK" w:eastAsia="方正仿宋_GBK" w:hint="eastAsia"/>
          <w:sz w:val="32"/>
          <w:szCs w:val="32"/>
          <w:shd w:val="clear" w:color="auto" w:fill="FFFFFF"/>
        </w:rPr>
        <w:t>份，通过大连海关门户网站公示行政许可和行政处罚事项</w:t>
      </w:r>
      <w:r>
        <w:rPr>
          <w:rFonts w:eastAsia="方正仿宋_GBK"/>
          <w:sz w:val="32"/>
          <w:szCs w:val="32"/>
          <w:shd w:val="clear" w:color="auto" w:fill="FFFFFF"/>
          <w:lang w:val="en-US" w:eastAsia="zh-CN"/>
        </w:rPr>
        <w:t>108</w:t>
      </w:r>
      <w:r>
        <w:rPr>
          <w:rFonts w:ascii="方正仿宋_GBK" w:eastAsia="方正仿宋_GBK" w:hint="eastAsia"/>
          <w:sz w:val="32"/>
          <w:szCs w:val="32"/>
          <w:shd w:val="clear" w:color="auto" w:fill="FFFFFF"/>
        </w:rPr>
        <w:t>项。无受理政府信息依申请公开事项，无涉及政府信息公开申请行政复议及行政诉讼。</w:t>
      </w:r>
    </w:p>
    <w:p>
      <w:pPr>
        <w:pStyle w:val="128"/>
        <w:adjustRightInd w:val="0"/>
        <w:snapToGrid w:val="0"/>
        <w:spacing w:before="217" w:after="217"/>
        <w:ind w:firstLineChars="200" w:firstLine="616"/>
        <w:rPr>
          <w:rFonts w:ascii="方正黑体_GBK" w:eastAsia="方正黑体_GBK" w:cs="楷体_GB2312" w:hint="eastAsia"/>
          <w:bCs/>
          <w:sz w:val="32"/>
          <w:szCs w:val="32"/>
          <w:shd w:val="clear" w:color="auto" w:fill="FFFFFF"/>
          <w:lang w:bidi="ar-SA"/>
        </w:rPr>
      </w:pPr>
      <w:r>
        <w:rPr>
          <w:rFonts w:ascii="方正黑体_GBK" w:eastAsia="方正黑体_GBK" w:cs="楷体_GB2312" w:hint="eastAsia"/>
          <w:bCs/>
          <w:sz w:val="32"/>
          <w:szCs w:val="32"/>
          <w:shd w:val="clear" w:color="auto" w:fill="FFFFFF"/>
          <w:lang w:bidi="ar-SA"/>
        </w:rPr>
        <w:t>二、主动公开政府信息情况</w:t>
      </w:r>
    </w:p>
    <w:tbl>
      <w:tblPr>
        <w:jc w:val="center"/>
        <w:tblW w:w="89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20"/>
        <w:gridCol w:w="2183"/>
        <w:gridCol w:w="1936"/>
        <w:gridCol w:w="2156"/>
      </w:tblGrid>
      <w:tr>
        <w:trPr>
          <w:trHeight w:val="495"/>
        </w:trPr>
        <w:tc>
          <w:tcPr>
            <w:tcW w:w="89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pStyle w:val="129"/>
              <w:widowControl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cs="宋体" w:hint="eastAsia"/>
                <w:color w:val="auto"/>
                <w:kern w:val="0"/>
                <w:sz w:val="24"/>
                <w:szCs w:val="24"/>
                <w:lang w:bidi="ar-SA"/>
              </w:rPr>
              <w:t>第二十条第（一）项</w:t>
            </w:r>
          </w:p>
        </w:tc>
      </w:tr>
      <w:tr>
        <w:trPr>
          <w:trHeight w:val="68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29"/>
              <w:widowControl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cs="宋体" w:hint="eastAsia"/>
                <w:color w:val="auto"/>
                <w:kern w:val="0"/>
                <w:sz w:val="24"/>
                <w:szCs w:val="24"/>
                <w:lang w:bidi="ar-SA"/>
              </w:rPr>
              <w:t>信息内容</w:t>
            </w:r>
          </w:p>
        </w:tc>
        <w:tc>
          <w:tcPr>
            <w:tcW w:w="21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29"/>
              <w:widowControl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cs="宋体" w:hint="eastAsia"/>
                <w:color w:val="auto"/>
                <w:kern w:val="0"/>
                <w:sz w:val="24"/>
                <w:szCs w:val="24"/>
                <w:lang w:bidi="ar-SA"/>
              </w:rPr>
              <w:t>本年</w:t>
            </w:r>
            <w:r>
              <w:rPr>
                <w:color w:val="auto"/>
                <w:kern w:val="0"/>
                <w:sz w:val="24"/>
                <w:szCs w:val="24"/>
              </w:rPr>
              <w:t>制发件数</w:t>
            </w:r>
          </w:p>
        </w:tc>
        <w:tc>
          <w:tcPr>
            <w:tcW w:w="19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29"/>
              <w:widowControl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cs="宋体" w:hint="eastAsia"/>
                <w:color w:val="auto"/>
                <w:kern w:val="0"/>
                <w:sz w:val="24"/>
                <w:szCs w:val="24"/>
                <w:lang w:bidi="ar-SA"/>
              </w:rPr>
              <w:t>本年废止件</w:t>
            </w:r>
            <w:r>
              <w:rPr>
                <w:color w:val="auto"/>
                <w:kern w:val="0"/>
                <w:sz w:val="24"/>
                <w:szCs w:val="24"/>
              </w:rPr>
              <w:t>数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29"/>
              <w:widowControl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cs="宋体" w:hint="eastAsia"/>
                <w:color w:val="auto"/>
                <w:kern w:val="0"/>
                <w:sz w:val="24"/>
                <w:szCs w:val="24"/>
                <w:lang w:bidi="ar-SA"/>
              </w:rPr>
              <w:t>现行有效件数</w:t>
            </w:r>
          </w:p>
        </w:tc>
      </w:tr>
      <w:tr>
        <w:trPr>
          <w:trHeight w:val="51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29"/>
              <w:widowControl/>
              <w:adjustRightInd w:val="0"/>
              <w:snapToGrid w:val="0"/>
              <w:spacing w:line="260" w:lineRule="exact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cs="宋体" w:hint="eastAsia"/>
                <w:color w:val="auto"/>
                <w:kern w:val="0"/>
                <w:sz w:val="24"/>
                <w:szCs w:val="24"/>
                <w:lang w:bidi="ar-SA"/>
              </w:rPr>
              <w:t>规章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30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3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32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rPr>
          <w:trHeight w:val="51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29"/>
              <w:widowControl/>
              <w:adjustRightInd w:val="0"/>
              <w:snapToGrid w:val="0"/>
              <w:spacing w:line="260" w:lineRule="exact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cs="宋体" w:hint="eastAsia"/>
                <w:color w:val="auto"/>
                <w:kern w:val="0"/>
                <w:sz w:val="24"/>
                <w:szCs w:val="24"/>
                <w:lang w:bidi="ar-SA"/>
              </w:rPr>
              <w:t>行政规范性文件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3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13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rPr>
          <w:trHeight w:val="435"/>
        </w:trPr>
        <w:tc>
          <w:tcPr>
            <w:tcW w:w="899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pStyle w:val="129"/>
              <w:widowControl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第二十条第（五）项</w:t>
            </w:r>
          </w:p>
        </w:tc>
      </w:tr>
      <w:tr>
        <w:trPr>
          <w:trHeight w:val="68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29"/>
              <w:widowControl/>
              <w:adjustRightInd w:val="0"/>
              <w:snapToGrid w:val="0"/>
              <w:spacing w:line="260" w:lineRule="exact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cs="宋体" w:hint="eastAsia"/>
                <w:color w:val="auto"/>
                <w:kern w:val="0"/>
                <w:sz w:val="24"/>
                <w:szCs w:val="24"/>
                <w:lang w:bidi="ar-SA"/>
              </w:rPr>
              <w:t>信息内容</w:t>
            </w:r>
          </w:p>
        </w:tc>
        <w:tc>
          <w:tcPr>
            <w:tcW w:w="627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36"/>
              <w:widowControl/>
              <w:adjustRightInd w:val="0"/>
              <w:snapToGrid w:val="0"/>
              <w:spacing w:line="260" w:lineRule="exact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cs="宋体" w:hint="eastAsia"/>
                <w:color w:val="auto"/>
                <w:kern w:val="0"/>
                <w:sz w:val="24"/>
                <w:szCs w:val="24"/>
                <w:lang w:bidi="ar-SA"/>
              </w:rPr>
              <w:t>本年处理决定数量</w:t>
            </w:r>
          </w:p>
        </w:tc>
      </w:tr>
      <w:tr>
        <w:trPr>
          <w:trHeight w:val="51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29"/>
              <w:widowControl/>
              <w:adjustRightInd w:val="0"/>
              <w:snapToGrid w:val="0"/>
              <w:spacing w:line="260" w:lineRule="exact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cs="宋体" w:hint="eastAsia"/>
                <w:color w:val="auto"/>
                <w:kern w:val="0"/>
                <w:sz w:val="24"/>
                <w:szCs w:val="24"/>
                <w:lang w:bidi="ar-SA"/>
              </w:rPr>
              <w:t>行政许可</w:t>
            </w:r>
          </w:p>
        </w:tc>
        <w:tc>
          <w:tcPr>
            <w:tcW w:w="62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37"/>
              <w:jc w:val="center"/>
              <w:rPr>
                <w:rFonts w:eastAsia="方正仿宋_GBK" w:cs="宋体"/>
                <w:sz w:val="24"/>
                <w:szCs w:val="24"/>
                <w:lang w:bidi="ar-SA"/>
              </w:rPr>
            </w:pPr>
            <w:r>
              <w:rPr>
                <w:rFonts w:eastAsia="方正仿宋_GBK" w:cs="宋体"/>
                <w:sz w:val="24"/>
                <w:szCs w:val="24"/>
                <w:lang w:bidi="ar-SA"/>
              </w:rPr>
              <w:t>8</w:t>
            </w:r>
          </w:p>
        </w:tc>
      </w:tr>
      <w:tr>
        <w:trPr>
          <w:trHeight w:val="406"/>
        </w:trPr>
        <w:tc>
          <w:tcPr>
            <w:tcW w:w="899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pStyle w:val="129"/>
              <w:widowControl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第二十条第（六）项</w:t>
            </w:r>
          </w:p>
        </w:tc>
      </w:tr>
      <w:tr>
        <w:trPr>
          <w:trHeight w:val="68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29"/>
              <w:widowControl/>
              <w:adjustRightInd w:val="0"/>
              <w:snapToGrid w:val="0"/>
              <w:spacing w:line="260" w:lineRule="exact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cs="宋体" w:hint="eastAsia"/>
                <w:color w:val="auto"/>
                <w:kern w:val="0"/>
                <w:sz w:val="24"/>
                <w:szCs w:val="24"/>
                <w:lang w:bidi="ar-SA"/>
              </w:rPr>
              <w:t>信息内容</w:t>
            </w:r>
          </w:p>
        </w:tc>
        <w:tc>
          <w:tcPr>
            <w:tcW w:w="627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38"/>
              <w:widowControl/>
              <w:adjustRightInd w:val="0"/>
              <w:snapToGrid w:val="0"/>
              <w:spacing w:line="260" w:lineRule="exact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cs="宋体" w:hint="eastAsia"/>
                <w:color w:val="auto"/>
                <w:kern w:val="0"/>
                <w:sz w:val="24"/>
                <w:szCs w:val="24"/>
                <w:lang w:bidi="ar-SA"/>
              </w:rPr>
              <w:t>本年处理决定数量</w:t>
            </w:r>
          </w:p>
        </w:tc>
      </w:tr>
      <w:tr>
        <w:trPr>
          <w:trHeight w:val="51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29"/>
              <w:widowControl/>
              <w:adjustRightInd w:val="0"/>
              <w:snapToGrid w:val="0"/>
              <w:spacing w:line="260" w:lineRule="exact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cs="宋体" w:hint="eastAsia"/>
                <w:color w:val="auto"/>
                <w:kern w:val="0"/>
                <w:sz w:val="24"/>
                <w:szCs w:val="24"/>
                <w:lang w:bidi="ar-SA"/>
              </w:rPr>
              <w:t>行政处罚</w:t>
            </w:r>
          </w:p>
        </w:tc>
        <w:tc>
          <w:tcPr>
            <w:tcW w:w="62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29"/>
              <w:jc w:val="center"/>
              <w:rPr>
                <w:rFonts w:eastAsia="方正仿宋_GBK" w:cs="宋体"/>
                <w:sz w:val="24"/>
                <w:szCs w:val="24"/>
                <w:lang w:bidi="ar-SA"/>
              </w:rPr>
            </w:pPr>
            <w:r>
              <w:rPr>
                <w:rFonts w:eastAsia="方正仿宋_GBK" w:cs="宋体"/>
                <w:sz w:val="24"/>
                <w:szCs w:val="24"/>
                <w:lang w:bidi="ar-SA"/>
              </w:rPr>
              <w:t>100</w:t>
            </w:r>
          </w:p>
        </w:tc>
      </w:tr>
      <w:tr>
        <w:trPr>
          <w:trHeight w:val="51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29"/>
              <w:widowControl/>
              <w:adjustRightInd w:val="0"/>
              <w:snapToGrid w:val="0"/>
              <w:spacing w:line="260" w:lineRule="exact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cs="宋体" w:hint="eastAsia"/>
                <w:color w:val="auto"/>
                <w:kern w:val="0"/>
                <w:sz w:val="24"/>
                <w:szCs w:val="24"/>
                <w:lang w:bidi="ar-SA"/>
              </w:rPr>
              <w:t>行政强制</w:t>
            </w:r>
          </w:p>
        </w:tc>
        <w:tc>
          <w:tcPr>
            <w:tcW w:w="62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39"/>
              <w:jc w:val="center"/>
              <w:rPr>
                <w:rFonts w:eastAsia="方正仿宋_GBK" w:cs="宋体"/>
                <w:sz w:val="24"/>
                <w:szCs w:val="24"/>
                <w:lang w:bidi="ar-SA"/>
              </w:rPr>
            </w:pPr>
            <w:r>
              <w:rPr>
                <w:rFonts w:eastAsia="方正仿宋_GBK" w:cs="宋体"/>
                <w:sz w:val="24"/>
                <w:szCs w:val="24"/>
                <w:lang w:bidi="ar-SA"/>
              </w:rPr>
              <w:t>23</w:t>
            </w:r>
          </w:p>
        </w:tc>
      </w:tr>
      <w:tr>
        <w:trPr>
          <w:trHeight w:val="474"/>
        </w:trPr>
        <w:tc>
          <w:tcPr>
            <w:tcW w:w="899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pStyle w:val="129"/>
              <w:widowControl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  <w:lang w:bidi="ar-SA"/>
              </w:rPr>
              <w:t>第二十条第（八）项</w:t>
            </w:r>
          </w:p>
        </w:tc>
      </w:tr>
      <w:tr>
        <w:trPr>
          <w:trHeight w:val="68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29"/>
              <w:widowControl/>
              <w:adjustRightInd w:val="0"/>
              <w:snapToGrid w:val="0"/>
              <w:spacing w:line="260" w:lineRule="exact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cs="宋体" w:hint="eastAsia"/>
                <w:color w:val="auto"/>
                <w:kern w:val="0"/>
                <w:sz w:val="24"/>
                <w:szCs w:val="24"/>
                <w:lang w:bidi="ar-SA"/>
              </w:rPr>
              <w:t>信息内容</w:t>
            </w:r>
          </w:p>
        </w:tc>
        <w:tc>
          <w:tcPr>
            <w:tcW w:w="62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40"/>
              <w:widowControl/>
              <w:adjustRightInd w:val="0"/>
              <w:snapToGrid w:val="0"/>
              <w:spacing w:line="260" w:lineRule="exact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cs="宋体" w:hint="eastAsia"/>
                <w:color w:val="auto"/>
                <w:kern w:val="0"/>
                <w:sz w:val="24"/>
                <w:szCs w:val="24"/>
                <w:lang w:bidi="ar-SA"/>
              </w:rPr>
              <w:t>本年收费金额（单位：万元）</w:t>
            </w:r>
          </w:p>
        </w:tc>
      </w:tr>
      <w:tr>
        <w:trPr>
          <w:trHeight w:val="51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29"/>
              <w:widowControl/>
              <w:adjustRightInd w:val="0"/>
              <w:snapToGrid w:val="0"/>
              <w:spacing w:line="260" w:lineRule="exact"/>
              <w:jc w:val="center"/>
            </w:pPr>
            <w:r>
              <w:rPr>
                <w:rFonts w:ascii="宋体" w:cs="宋体" w:hint="eastAsia"/>
                <w:color w:val="auto"/>
                <w:kern w:val="0"/>
                <w:sz w:val="24"/>
                <w:szCs w:val="24"/>
                <w:lang w:bidi="ar-SA"/>
              </w:rPr>
              <w:t>行政事业性收费</w:t>
            </w:r>
          </w:p>
        </w:tc>
        <w:tc>
          <w:tcPr>
            <w:tcW w:w="62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29"/>
              <w:jc w:val="center"/>
              <w:rPr>
                <w:rFonts w:eastAsia="方正仿宋_GBK" w:cs="宋体"/>
                <w:sz w:val="24"/>
                <w:szCs w:val="24"/>
                <w:lang w:bidi="ar-SA"/>
              </w:rPr>
            </w:pPr>
            <w:r>
              <w:rPr>
                <w:rFonts w:eastAsia="方正仿宋_GBK" w:cs="宋体"/>
                <w:sz w:val="24"/>
                <w:szCs w:val="24"/>
                <w:lang w:bidi="ar-SA"/>
              </w:rPr>
              <w:t>0</w:t>
            </w:r>
          </w:p>
        </w:tc>
      </w:tr>
    </w:tbl>
    <w:p>
      <w:pPr>
        <w:pStyle w:val="141"/>
        <w:tabs>
          <w:tab w:val="clear" w:pos="4153"/>
          <w:tab w:val="clear" w:pos="8306"/>
          <w:tab w:val="center" w:pos="4153"/>
          <w:tab w:val="right" w:pos="8306"/>
        </w:tabs>
        <w:adjustRightInd/>
        <w:snapToGrid w:val="0"/>
      </w:pPr>
    </w:p>
    <w:p>
      <w:pPr>
        <w:pStyle w:val="92"/>
        <w:widowControl/>
        <w:shd w:val="clear" w:color="auto" w:fill="FFFFFF"/>
        <w:adjustRightInd w:val="0"/>
        <w:snapToGrid w:val="0"/>
        <w:spacing w:beforeAutospacing="0" w:after="217" w:afterAutospacing="0" w:line="560" w:lineRule="exact"/>
        <w:ind w:left="0" w:firstLineChars="200" w:firstLine="632"/>
        <w:jc w:val="both"/>
        <w:rPr>
          <w:rFonts w:ascii="方正黑体_GBK" w:eastAsia="方正黑体_GBK" w:cs="楷体_GB2312" w:hint="eastAsia"/>
          <w:bCs/>
          <w:sz w:val="32"/>
          <w:szCs w:val="32"/>
          <w:shd w:val="clear" w:color="auto" w:fill="FFFFFF"/>
          <w:lang w:bidi="ar-SA"/>
        </w:rPr>
      </w:pPr>
      <w:r>
        <w:rPr>
          <w:rFonts w:ascii="方正黑体_GBK" w:eastAsia="方正黑体_GBK" w:cs="楷体_GB2312" w:hint="eastAsia"/>
          <w:bCs/>
          <w:sz w:val="32"/>
          <w:szCs w:val="32"/>
          <w:shd w:val="clear" w:color="auto" w:fill="FFFFFF"/>
          <w:lang w:bidi="ar-SA"/>
        </w:rPr>
        <w:t>三、收到和处理政府信息公开申请情况</w:t>
      </w:r>
    </w:p>
    <w:tbl>
      <w:tblPr>
        <w:jc w:val="center"/>
        <w:tblW w:w="90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outset" w:sz="6" w:space="0" w:color="auto"/>
          <w:insideV w:val="outset" w:sz="6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6"/>
        <w:gridCol w:w="936"/>
        <w:gridCol w:w="2670"/>
        <w:gridCol w:w="635"/>
        <w:gridCol w:w="675"/>
        <w:gridCol w:w="750"/>
        <w:gridCol w:w="765"/>
        <w:gridCol w:w="765"/>
        <w:gridCol w:w="497"/>
        <w:gridCol w:w="682"/>
      </w:tblGrid>
      <w:tr>
        <w:trPr>
          <w:tblHeader/>
        </w:trPr>
        <w:tc>
          <w:tcPr>
            <w:tcW w:w="4302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29"/>
              <w:widowControl/>
              <w:jc w:val="center"/>
              <w:rPr>
                <w:color w:val="auto"/>
              </w:rPr>
            </w:pPr>
            <w:r>
              <w:rPr>
                <w:rFonts w:ascii="宋体" w:cs="宋体" w:hint="eastAsia"/>
                <w:color w:val="auto"/>
                <w:kern w:val="0"/>
                <w:sz w:val="20"/>
                <w:szCs w:val="20"/>
                <w:lang w:bidi="ar-SA"/>
              </w:rPr>
              <w:t>（本列数据的勾稽关系为：第一项加第二项之和，等于第三项加第四项之和）</w:t>
            </w:r>
          </w:p>
        </w:tc>
        <w:tc>
          <w:tcPr>
            <w:tcW w:w="476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29"/>
              <w:widowControl/>
              <w:jc w:val="center"/>
              <w:rPr>
                <w:color w:val="auto"/>
              </w:rPr>
            </w:pPr>
            <w:r>
              <w:rPr>
                <w:rFonts w:ascii="宋体" w:cs="宋体" w:hint="eastAsia"/>
                <w:color w:val="auto"/>
                <w:kern w:val="0"/>
                <w:sz w:val="20"/>
                <w:szCs w:val="20"/>
                <w:lang w:bidi="ar-SA"/>
              </w:rPr>
              <w:t>申请人情况</w:t>
            </w:r>
          </w:p>
        </w:tc>
      </w:tr>
      <w:tr>
        <w:trPr>
          <w:tblHeader/>
        </w:trPr>
        <w:tc>
          <w:tcPr>
            <w:tcW w:w="4302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63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29"/>
              <w:widowControl/>
              <w:jc w:val="center"/>
              <w:rPr>
                <w:color w:val="auto"/>
              </w:rPr>
            </w:pPr>
            <w:r>
              <w:rPr>
                <w:rFonts w:ascii="宋体" w:cs="宋体" w:hint="eastAsia"/>
                <w:color w:val="auto"/>
                <w:kern w:val="0"/>
                <w:sz w:val="20"/>
                <w:szCs w:val="20"/>
                <w:lang w:bidi="ar-SA"/>
              </w:rPr>
              <w:t>自然人</w:t>
            </w:r>
          </w:p>
        </w:tc>
        <w:tc>
          <w:tcPr>
            <w:tcW w:w="3452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29"/>
              <w:widowControl/>
              <w:jc w:val="center"/>
              <w:rPr>
                <w:color w:val="auto"/>
              </w:rPr>
            </w:pPr>
            <w:r>
              <w:rPr>
                <w:rFonts w:ascii="宋体" w:cs="宋体" w:hint="eastAsia"/>
                <w:color w:val="auto"/>
                <w:kern w:val="0"/>
                <w:sz w:val="20"/>
                <w:szCs w:val="20"/>
                <w:lang w:bidi="ar-SA"/>
              </w:rPr>
              <w:t>法人或其他组织</w:t>
            </w:r>
          </w:p>
        </w:tc>
        <w:tc>
          <w:tcPr>
            <w:tcW w:w="68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29"/>
              <w:widowControl/>
              <w:jc w:val="center"/>
              <w:rPr>
                <w:color w:val="auto"/>
              </w:rPr>
            </w:pPr>
            <w:r>
              <w:rPr>
                <w:rFonts w:ascii="宋体" w:cs="宋体" w:hint="eastAsia"/>
                <w:color w:val="auto"/>
                <w:kern w:val="0"/>
                <w:sz w:val="20"/>
                <w:szCs w:val="20"/>
                <w:lang w:bidi="ar-SA"/>
              </w:rPr>
              <w:t>总计</w:t>
            </w:r>
          </w:p>
        </w:tc>
      </w:tr>
      <w:tr>
        <w:trPr>
          <w:trHeight w:val="649"/>
          <w:tblHeader/>
        </w:trPr>
        <w:tc>
          <w:tcPr>
            <w:tcW w:w="4302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63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29"/>
              <w:widowControl/>
              <w:jc w:val="center"/>
              <w:rPr>
                <w:color w:val="auto"/>
              </w:rPr>
            </w:pPr>
            <w:r>
              <w:rPr>
                <w:rFonts w:ascii="宋体" w:cs="宋体" w:hint="eastAsia"/>
                <w:color w:val="auto"/>
                <w:kern w:val="0"/>
                <w:sz w:val="20"/>
                <w:szCs w:val="20"/>
                <w:lang w:bidi="ar-SA"/>
              </w:rPr>
              <w:t>商业企业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29"/>
              <w:widowControl/>
              <w:jc w:val="center"/>
              <w:rPr>
                <w:color w:val="auto"/>
              </w:rPr>
            </w:pPr>
            <w:r>
              <w:rPr>
                <w:rFonts w:ascii="宋体" w:cs="宋体" w:hint="eastAsia"/>
                <w:color w:val="auto"/>
                <w:kern w:val="0"/>
                <w:sz w:val="20"/>
                <w:szCs w:val="20"/>
                <w:lang w:bidi="ar-SA"/>
              </w:rPr>
              <w:t>科研机构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29"/>
              <w:widowControl/>
              <w:jc w:val="center"/>
              <w:rPr>
                <w:color w:val="auto"/>
              </w:rPr>
            </w:pPr>
            <w:r>
              <w:rPr>
                <w:rFonts w:ascii="宋体" w:cs="宋体" w:hint="eastAsia"/>
                <w:color w:val="auto"/>
                <w:kern w:val="0"/>
                <w:sz w:val="20"/>
                <w:szCs w:val="20"/>
                <w:lang w:bidi="ar-SA"/>
              </w:rPr>
              <w:t>社会公益组织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29"/>
              <w:widowControl/>
              <w:jc w:val="center"/>
              <w:rPr>
                <w:color w:val="auto"/>
              </w:rPr>
            </w:pPr>
            <w:r>
              <w:rPr>
                <w:rFonts w:ascii="宋体" w:cs="宋体" w:hint="eastAsia"/>
                <w:color w:val="auto"/>
                <w:kern w:val="0"/>
                <w:sz w:val="20"/>
                <w:szCs w:val="20"/>
                <w:lang w:bidi="ar-SA"/>
              </w:rPr>
              <w:t>法律服务机构</w:t>
            </w:r>
          </w:p>
        </w:tc>
        <w:tc>
          <w:tcPr>
            <w:tcW w:w="4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29"/>
              <w:widowControl/>
              <w:jc w:val="center"/>
              <w:rPr>
                <w:color w:val="auto"/>
              </w:rPr>
            </w:pPr>
            <w:r>
              <w:rPr>
                <w:rFonts w:ascii="宋体" w:cs="宋体" w:hint="eastAsia"/>
                <w:color w:val="auto"/>
                <w:kern w:val="0"/>
                <w:sz w:val="20"/>
                <w:szCs w:val="20"/>
                <w:lang w:bidi="ar-SA"/>
              </w:rPr>
              <w:t>其他</w:t>
            </w:r>
          </w:p>
        </w:tc>
        <w:tc>
          <w:tcPr>
            <w:tcW w:w="682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/>
        </w:tc>
      </w:tr>
      <w:tr>
        <w:tc>
          <w:tcPr>
            <w:tcW w:w="430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</w:tcPr>
          <w:p>
            <w:pPr>
              <w:pStyle w:val="129"/>
              <w:widowControl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cs="宋体" w:hint="eastAsia"/>
                <w:color w:val="auto"/>
                <w:kern w:val="0"/>
                <w:sz w:val="24"/>
                <w:szCs w:val="24"/>
                <w:lang w:bidi="ar-SA"/>
              </w:rPr>
              <w:t>一、本年新收政府信息公开申请数量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42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4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4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4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4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47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4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430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</w:tcPr>
          <w:p>
            <w:pPr>
              <w:pStyle w:val="129"/>
              <w:widowControl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cs="宋体" w:hint="eastAsia"/>
                <w:color w:val="auto"/>
                <w:kern w:val="0"/>
                <w:sz w:val="24"/>
                <w:szCs w:val="24"/>
                <w:lang w:bidi="ar-SA"/>
              </w:rPr>
              <w:t>二、上年结转政府信息公开申请数量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49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50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5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52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5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5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5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29"/>
              <w:widowControl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cs="宋体" w:hint="eastAsia"/>
                <w:color w:val="auto"/>
                <w:kern w:val="0"/>
                <w:sz w:val="24"/>
                <w:szCs w:val="24"/>
                <w:lang w:bidi="ar-SA"/>
              </w:rPr>
              <w:t>三、本年度办理结果</w:t>
            </w:r>
          </w:p>
        </w:tc>
        <w:tc>
          <w:tcPr>
            <w:tcW w:w="360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29"/>
              <w:widowControl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楷体" w:eastAsia="楷体" w:cs="楷体" w:hint="eastAsia"/>
                <w:color w:val="auto"/>
                <w:kern w:val="0"/>
                <w:sz w:val="24"/>
                <w:szCs w:val="24"/>
                <w:lang w:bidi="ar-SA"/>
              </w:rPr>
              <w:t>（一）予以公开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5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57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5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59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60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6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62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360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29"/>
              <w:widowControl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楷体" w:eastAsia="楷体" w:cs="楷体" w:hint="eastAsia"/>
                <w:color w:val="auto"/>
                <w:kern w:val="0"/>
                <w:sz w:val="24"/>
                <w:szCs w:val="24"/>
                <w:lang w:bidi="ar-SA"/>
              </w:rPr>
              <w:t>（二）部分公开（区分处理的，只计这一情形，不计其他情形）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6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6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6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6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67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6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69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29"/>
              <w:widowControl/>
              <w:rPr>
                <w:color w:val="auto"/>
                <w:sz w:val="24"/>
                <w:szCs w:val="24"/>
              </w:rPr>
            </w:pPr>
            <w:r>
              <w:rPr>
                <w:rFonts w:ascii="楷体" w:eastAsia="楷体" w:cs="楷体" w:hint="eastAsia"/>
                <w:color w:val="auto"/>
                <w:kern w:val="0"/>
                <w:sz w:val="24"/>
                <w:szCs w:val="24"/>
                <w:lang w:bidi="ar-SA"/>
              </w:rPr>
              <w:t>（三）不予公开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29"/>
              <w:widowControl/>
              <w:rPr>
                <w:color w:val="auto"/>
                <w:sz w:val="24"/>
                <w:szCs w:val="24"/>
              </w:rPr>
            </w:pPr>
            <w:r>
              <w:rPr>
                <w:rFonts w:ascii="楷体" w:eastAsia="楷体" w:cs="楷体" w:hint="eastAsia"/>
                <w:color w:val="auto"/>
                <w:kern w:val="0"/>
                <w:sz w:val="24"/>
                <w:szCs w:val="24"/>
                <w:lang w:bidi="ar-SA"/>
              </w:rPr>
              <w:t>1.属于国家秘密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70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7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72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7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7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7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7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29"/>
              <w:widowControl/>
              <w:rPr>
                <w:color w:val="auto"/>
                <w:sz w:val="24"/>
                <w:szCs w:val="24"/>
              </w:rPr>
            </w:pPr>
            <w:r>
              <w:rPr>
                <w:rFonts w:ascii="楷体" w:eastAsia="楷体" w:cs="楷体" w:hint="eastAsia"/>
                <w:color w:val="auto"/>
                <w:kern w:val="0"/>
                <w:sz w:val="24"/>
                <w:szCs w:val="24"/>
                <w:lang w:bidi="ar-SA"/>
              </w:rPr>
              <w:t>2.其他法律行政法规禁止公开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77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7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79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80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8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82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8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29"/>
              <w:widowControl/>
              <w:rPr>
                <w:color w:val="auto"/>
                <w:sz w:val="24"/>
                <w:szCs w:val="24"/>
              </w:rPr>
            </w:pPr>
            <w:r>
              <w:rPr>
                <w:rFonts w:ascii="楷体" w:eastAsia="楷体" w:cs="楷体" w:hint="eastAsia"/>
                <w:color w:val="auto"/>
                <w:kern w:val="0"/>
                <w:sz w:val="24"/>
                <w:szCs w:val="24"/>
                <w:lang w:bidi="ar-SA"/>
              </w:rPr>
              <w:t>3.危及“三安全一稳定”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8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8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8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87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8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89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90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29"/>
              <w:widowControl/>
              <w:rPr>
                <w:color w:val="auto"/>
                <w:sz w:val="24"/>
                <w:szCs w:val="24"/>
              </w:rPr>
            </w:pPr>
            <w:r>
              <w:rPr>
                <w:rFonts w:ascii="楷体" w:eastAsia="楷体" w:cs="楷体" w:hint="eastAsia"/>
                <w:color w:val="auto"/>
                <w:kern w:val="0"/>
                <w:sz w:val="24"/>
                <w:szCs w:val="24"/>
                <w:lang w:bidi="ar-SA"/>
              </w:rPr>
              <w:t>4.保护第三方合法权益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9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92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9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9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9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9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97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29"/>
              <w:widowControl/>
              <w:rPr>
                <w:color w:val="auto"/>
                <w:sz w:val="24"/>
                <w:szCs w:val="24"/>
              </w:rPr>
            </w:pPr>
            <w:r>
              <w:rPr>
                <w:rFonts w:ascii="楷体" w:eastAsia="楷体" w:cs="楷体" w:hint="eastAsia"/>
                <w:color w:val="auto"/>
                <w:kern w:val="0"/>
                <w:sz w:val="24"/>
                <w:szCs w:val="24"/>
                <w:lang w:bidi="ar-SA"/>
              </w:rPr>
              <w:t>5.属于三类内部事务信息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9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99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00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0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02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0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0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29"/>
              <w:widowControl/>
              <w:rPr>
                <w:color w:val="auto"/>
                <w:sz w:val="24"/>
                <w:szCs w:val="24"/>
              </w:rPr>
            </w:pPr>
            <w:r>
              <w:rPr>
                <w:rFonts w:ascii="楷体" w:eastAsia="楷体" w:cs="楷体" w:hint="eastAsia"/>
                <w:color w:val="auto"/>
                <w:kern w:val="0"/>
                <w:sz w:val="24"/>
                <w:szCs w:val="24"/>
                <w:lang w:bidi="ar-SA"/>
              </w:rPr>
              <w:t>6.属于四类过程性信息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0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0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07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0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09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10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29"/>
              <w:widowControl/>
              <w:rPr>
                <w:color w:val="auto"/>
                <w:sz w:val="24"/>
                <w:szCs w:val="24"/>
              </w:rPr>
            </w:pPr>
            <w:r>
              <w:rPr>
                <w:rFonts w:ascii="楷体" w:eastAsia="楷体" w:cs="楷体" w:hint="eastAsia"/>
                <w:color w:val="auto"/>
                <w:kern w:val="0"/>
                <w:sz w:val="24"/>
                <w:szCs w:val="24"/>
                <w:lang w:bidi="ar-SA"/>
              </w:rPr>
              <w:t>7.属于行政执法案卷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12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1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1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1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17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1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29"/>
              <w:widowControl/>
              <w:rPr>
                <w:color w:val="auto"/>
                <w:sz w:val="24"/>
                <w:szCs w:val="24"/>
              </w:rPr>
            </w:pPr>
            <w:r>
              <w:rPr>
                <w:rFonts w:ascii="楷体" w:eastAsia="楷体" w:cs="楷体" w:hint="eastAsia"/>
                <w:color w:val="auto"/>
                <w:kern w:val="0"/>
                <w:sz w:val="24"/>
                <w:szCs w:val="24"/>
                <w:lang w:bidi="ar-SA"/>
              </w:rPr>
              <w:t>8.属于行政查询事项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29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29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29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29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29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29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29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29"/>
              <w:widowControl/>
              <w:rPr>
                <w:color w:val="auto"/>
                <w:sz w:val="24"/>
                <w:szCs w:val="24"/>
              </w:rPr>
            </w:pPr>
            <w:r>
              <w:rPr>
                <w:rFonts w:ascii="楷体" w:eastAsia="楷体" w:cs="楷体" w:hint="eastAsia"/>
                <w:color w:val="auto"/>
                <w:kern w:val="0"/>
                <w:sz w:val="24"/>
                <w:szCs w:val="24"/>
                <w:lang w:bidi="ar-SA"/>
              </w:rPr>
              <w:t>（四）无法提供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29"/>
              <w:widowControl/>
              <w:rPr>
                <w:color w:val="auto"/>
                <w:sz w:val="24"/>
                <w:szCs w:val="24"/>
              </w:rPr>
            </w:pPr>
            <w:r>
              <w:rPr>
                <w:rFonts w:ascii="楷体" w:eastAsia="楷体" w:cs="楷体" w:hint="eastAsia"/>
                <w:color w:val="auto"/>
                <w:kern w:val="0"/>
                <w:sz w:val="24"/>
                <w:szCs w:val="24"/>
                <w:lang w:bidi="ar-SA"/>
              </w:rPr>
              <w:t>1.本机关不掌握相关政府信息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19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20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2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22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2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2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2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29"/>
              <w:widowControl/>
              <w:rPr>
                <w:color w:val="auto"/>
                <w:sz w:val="24"/>
                <w:szCs w:val="24"/>
              </w:rPr>
            </w:pPr>
            <w:r>
              <w:rPr>
                <w:rFonts w:ascii="楷体" w:eastAsia="楷体" w:cs="楷体" w:hint="eastAsia"/>
                <w:color w:val="auto"/>
                <w:kern w:val="0"/>
                <w:sz w:val="24"/>
                <w:szCs w:val="24"/>
                <w:lang w:bidi="ar-SA"/>
              </w:rPr>
              <w:t>2.没有现成信息需要另行制作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2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27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29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30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3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32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29"/>
              <w:widowControl/>
              <w:rPr>
                <w:color w:val="auto"/>
                <w:sz w:val="24"/>
                <w:szCs w:val="24"/>
              </w:rPr>
            </w:pPr>
            <w:r>
              <w:rPr>
                <w:rFonts w:ascii="楷体" w:eastAsia="楷体" w:cs="楷体" w:hint="eastAsia"/>
                <w:color w:val="auto"/>
                <w:kern w:val="0"/>
                <w:sz w:val="24"/>
                <w:szCs w:val="24"/>
                <w:lang w:bidi="ar-SA"/>
              </w:rPr>
              <w:t>3.补正后申请内容仍不明确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3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3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3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37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3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39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29"/>
              <w:widowControl/>
              <w:rPr>
                <w:color w:val="auto"/>
                <w:sz w:val="24"/>
                <w:szCs w:val="24"/>
              </w:rPr>
            </w:pPr>
            <w:r>
              <w:rPr>
                <w:rFonts w:ascii="楷体" w:eastAsia="楷体" w:cs="楷体" w:hint="eastAsia"/>
                <w:color w:val="auto"/>
                <w:kern w:val="0"/>
                <w:sz w:val="24"/>
                <w:szCs w:val="24"/>
                <w:lang w:bidi="ar-SA"/>
              </w:rPr>
              <w:t>（五）不予处理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29"/>
              <w:widowControl/>
              <w:rPr>
                <w:color w:val="auto"/>
                <w:sz w:val="24"/>
                <w:szCs w:val="24"/>
              </w:rPr>
            </w:pPr>
            <w:r>
              <w:rPr>
                <w:rFonts w:ascii="楷体" w:eastAsia="楷体" w:cs="楷体" w:hint="eastAsia"/>
                <w:color w:val="auto"/>
                <w:kern w:val="0"/>
                <w:sz w:val="24"/>
                <w:szCs w:val="24"/>
                <w:lang w:bidi="ar-SA"/>
              </w:rPr>
              <w:t>1.信访举报投诉类申请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40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4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42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4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4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4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4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29"/>
              <w:widowControl/>
              <w:rPr>
                <w:color w:val="auto"/>
                <w:sz w:val="24"/>
                <w:szCs w:val="24"/>
              </w:rPr>
            </w:pPr>
            <w:r>
              <w:rPr>
                <w:rFonts w:ascii="楷体" w:eastAsia="楷体" w:cs="楷体" w:hint="eastAsia"/>
                <w:color w:val="auto"/>
                <w:kern w:val="0"/>
                <w:sz w:val="24"/>
                <w:szCs w:val="24"/>
                <w:lang w:bidi="ar-SA"/>
              </w:rPr>
              <w:t>2.重复申请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47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4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49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50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5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52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5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29"/>
              <w:widowControl/>
              <w:rPr>
                <w:color w:val="auto"/>
                <w:sz w:val="24"/>
                <w:szCs w:val="24"/>
              </w:rPr>
            </w:pPr>
            <w:r>
              <w:rPr>
                <w:rFonts w:ascii="楷体" w:eastAsia="楷体" w:cs="楷体" w:hint="eastAsia"/>
                <w:color w:val="auto"/>
                <w:kern w:val="0"/>
                <w:sz w:val="24"/>
                <w:szCs w:val="24"/>
                <w:lang w:bidi="ar-SA"/>
              </w:rPr>
              <w:t>3.要求提供公开出版物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5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5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5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57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5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59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60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rPr>
          <w:trHeight w:val="810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29"/>
              <w:widowControl/>
              <w:rPr>
                <w:color w:val="auto"/>
                <w:sz w:val="24"/>
                <w:szCs w:val="24"/>
              </w:rPr>
            </w:pPr>
            <w:r>
              <w:rPr>
                <w:rFonts w:ascii="楷体" w:eastAsia="楷体" w:cs="楷体" w:hint="eastAsia"/>
                <w:color w:val="auto"/>
                <w:kern w:val="0"/>
                <w:sz w:val="24"/>
                <w:szCs w:val="24"/>
                <w:lang w:bidi="ar-SA"/>
              </w:rPr>
              <w:t>4.无正当理由大量反复申请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6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62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6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6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6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6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67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29"/>
              <w:widowControl/>
              <w:rPr>
                <w:color w:val="auto"/>
                <w:sz w:val="24"/>
                <w:szCs w:val="24"/>
              </w:rPr>
            </w:pPr>
            <w:r>
              <w:rPr>
                <w:rFonts w:ascii="楷体" w:eastAsia="楷体" w:cs="楷体" w:hint="eastAsia"/>
                <w:color w:val="auto"/>
                <w:kern w:val="0"/>
                <w:sz w:val="24"/>
                <w:szCs w:val="24"/>
                <w:lang w:bidi="ar-SA"/>
              </w:rPr>
              <w:t>5.要求行政机关确认或重新出具已获取信息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6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69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70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7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72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7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7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rPr>
          <w:trHeight w:val="567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29"/>
              <w:widowControl/>
              <w:rPr>
                <w:color w:val="auto"/>
                <w:sz w:val="24"/>
                <w:szCs w:val="24"/>
              </w:rPr>
            </w:pPr>
            <w:r>
              <w:rPr>
                <w:rFonts w:ascii="楷体" w:eastAsia="楷体" w:cs="楷体" w:hint="eastAsia"/>
                <w:color w:val="auto"/>
                <w:kern w:val="0"/>
                <w:sz w:val="24"/>
                <w:szCs w:val="24"/>
                <w:lang w:bidi="ar-SA"/>
              </w:rPr>
              <w:t>（六）其他处理</w:t>
            </w:r>
          </w:p>
        </w:tc>
        <w:tc>
          <w:tcPr>
            <w:tcW w:w="2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</w:tcPr>
          <w:p>
            <w:pPr>
              <w:pStyle w:val="129"/>
              <w:widowControl/>
              <w:rPr>
                <w:rFonts w:ascii="楷体" w:eastAsia="楷体" w:cs="楷体" w:hint="eastAsia"/>
                <w:kern w:val="0"/>
                <w:sz w:val="24"/>
                <w:szCs w:val="24"/>
                <w:lang w:bidi="ar-SA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  <w:lang w:bidi="ar-SA"/>
              </w:rPr>
              <w:t>1.申请人无正当理由逾期不补正、行政机关不再处理其政府信息公开申请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7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7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77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7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79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80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8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rPr>
          <w:trHeight w:val="567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2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</w:tcPr>
          <w:p>
            <w:pPr>
              <w:pStyle w:val="129"/>
              <w:widowControl/>
              <w:rPr>
                <w:rFonts w:ascii="楷体" w:eastAsia="楷体" w:cs="楷体" w:hint="eastAsia"/>
                <w:kern w:val="0"/>
                <w:sz w:val="24"/>
                <w:szCs w:val="24"/>
                <w:lang w:bidi="ar-SA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  <w:lang w:bidi="ar-SA"/>
              </w:rPr>
              <w:t>2.申请人逾期未按收费通知要求缴纳费用、行政机关不再处理其政府信息公开申请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282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28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28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28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28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287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28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rPr>
          <w:trHeight w:val="567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2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</w:tcPr>
          <w:p>
            <w:pPr>
              <w:pStyle w:val="129"/>
              <w:widowControl/>
              <w:rPr>
                <w:rFonts w:ascii="楷体" w:eastAsia="楷体" w:cs="楷体" w:hint="eastAsia"/>
                <w:kern w:val="0"/>
                <w:sz w:val="24"/>
                <w:szCs w:val="24"/>
                <w:lang w:bidi="ar-SA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  <w:lang w:bidi="ar-SA"/>
              </w:rPr>
              <w:t>3.咨询事项，指引咨询渠道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289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290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29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292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29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29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29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rPr>
          <w:trHeight w:val="567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2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</w:tcPr>
          <w:p>
            <w:pPr>
              <w:pStyle w:val="129"/>
              <w:widowControl/>
              <w:rPr>
                <w:rFonts w:ascii="楷体" w:eastAsia="楷体" w:cs="楷体" w:hint="eastAsia"/>
                <w:kern w:val="0"/>
                <w:sz w:val="24"/>
                <w:szCs w:val="24"/>
                <w:lang w:bidi="ar-SA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  <w:lang w:bidi="ar-SA"/>
              </w:rPr>
              <w:t>4.申请人撤销申请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29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297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29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299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300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30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302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360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29"/>
              <w:widowControl/>
              <w:rPr>
                <w:color w:val="auto"/>
                <w:sz w:val="24"/>
                <w:szCs w:val="24"/>
              </w:rPr>
            </w:pPr>
            <w:r>
              <w:rPr>
                <w:rFonts w:ascii="楷体" w:eastAsia="楷体" w:cs="楷体" w:hint="eastAsia"/>
                <w:color w:val="auto"/>
                <w:kern w:val="0"/>
                <w:sz w:val="24"/>
                <w:szCs w:val="24"/>
                <w:lang w:bidi="ar-SA"/>
              </w:rPr>
              <w:t>（七）总计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30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30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30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30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307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30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309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430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29"/>
              <w:widowControl/>
              <w:jc w:val="left"/>
              <w:rPr>
                <w:color w:val="auto"/>
              </w:rPr>
            </w:pPr>
            <w:r>
              <w:rPr>
                <w:rFonts w:ascii="宋体" w:cs="宋体" w:hint="eastAsia"/>
                <w:color w:val="auto"/>
                <w:kern w:val="0"/>
                <w:sz w:val="24"/>
                <w:szCs w:val="24"/>
                <w:lang w:bidi="ar-SA"/>
              </w:rPr>
              <w:t>四、结转下年度继续办理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310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31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312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3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31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31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31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</w:tbl>
    <w:p>
      <w:pPr>
        <w:pStyle w:val="92"/>
        <w:widowControl/>
        <w:shd w:val="clear" w:color="auto" w:fill="FFFFFF"/>
        <w:spacing w:before="217" w:beforeAutospacing="0" w:after="120" w:afterAutospacing="0"/>
        <w:ind w:left="0"/>
        <w:jc w:val="both"/>
        <w:rPr>
          <w:rFonts w:ascii="方正黑体_GBK" w:eastAsia="方正黑体_GBK" w:cs="楷体_GB2312" w:hint="eastAsia"/>
          <w:bCs/>
          <w:color w:val="auto"/>
          <w:sz w:val="32"/>
          <w:szCs w:val="32"/>
          <w:shd w:val="clear" w:color="auto" w:fill="FFFFFF"/>
          <w:lang w:bidi="ar-SA"/>
        </w:rPr>
      </w:pPr>
    </w:p>
    <w:p>
      <w:pPr>
        <w:pStyle w:val="92"/>
        <w:widowControl/>
        <w:shd w:val="clear" w:color="auto" w:fill="FFFFFF"/>
        <w:spacing w:before="217" w:beforeAutospacing="0" w:after="120" w:afterAutospacing="0"/>
        <w:ind w:firstLineChars="200" w:firstLine="632"/>
        <w:jc w:val="both"/>
        <w:rPr>
          <w:rFonts w:ascii="宋体" w:cs="宋体" w:hint="eastAsia"/>
          <w:color w:val="auto"/>
          <w:szCs w:val="24"/>
          <w:lang w:bidi="ar-SA"/>
        </w:rPr>
      </w:pPr>
      <w:r>
        <w:rPr>
          <w:rFonts w:ascii="方正黑体_GBK" w:eastAsia="方正黑体_GBK" w:cs="楷体_GB2312" w:hint="eastAsia"/>
          <w:bCs/>
          <w:color w:val="auto"/>
          <w:sz w:val="32"/>
          <w:szCs w:val="32"/>
          <w:shd w:val="clear" w:color="auto" w:fill="FFFFFF"/>
          <w:lang w:bidi="ar-SA"/>
        </w:rPr>
        <w:t>四、政府信息公开行政复议、行政诉讼情况</w:t>
      </w:r>
    </w:p>
    <w:tbl>
      <w:tblPr>
        <w:jc w:val="center"/>
        <w:tblW w:w="90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outset" w:sz="6" w:space="0" w:color="auto"/>
          <w:insideV w:val="outset" w:sz="6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4"/>
        <w:gridCol w:w="604"/>
        <w:gridCol w:w="604"/>
        <w:gridCol w:w="604"/>
        <w:gridCol w:w="658"/>
        <w:gridCol w:w="550"/>
        <w:gridCol w:w="605"/>
        <w:gridCol w:w="605"/>
        <w:gridCol w:w="605"/>
        <w:gridCol w:w="605"/>
        <w:gridCol w:w="605"/>
        <w:gridCol w:w="605"/>
        <w:gridCol w:w="605"/>
        <w:gridCol w:w="606"/>
        <w:gridCol w:w="606"/>
      </w:tblGrid>
      <w:tr>
        <w:tc>
          <w:tcPr>
            <w:tcW w:w="307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29"/>
              <w:widowControl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cs="宋体" w:hint="eastAsia"/>
                <w:color w:val="auto"/>
                <w:kern w:val="0"/>
                <w:sz w:val="24"/>
                <w:szCs w:val="24"/>
                <w:lang w:bidi="ar-SA"/>
              </w:rPr>
              <w:t>行政复议</w:t>
            </w:r>
          </w:p>
        </w:tc>
        <w:tc>
          <w:tcPr>
            <w:tcW w:w="5997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29"/>
              <w:widowControl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cs="宋体" w:hint="eastAsia"/>
                <w:color w:val="auto"/>
                <w:kern w:val="0"/>
                <w:sz w:val="24"/>
                <w:szCs w:val="24"/>
                <w:lang w:bidi="ar-SA"/>
              </w:rPr>
              <w:t>行政诉讼</w:t>
            </w:r>
          </w:p>
        </w:tc>
      </w:tr>
      <w:tr>
        <w:tc>
          <w:tcPr>
            <w:tcW w:w="604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29"/>
              <w:widowControl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cs="宋体" w:hint="eastAsia"/>
                <w:color w:val="auto"/>
                <w:kern w:val="0"/>
                <w:sz w:val="24"/>
                <w:szCs w:val="24"/>
                <w:lang w:bidi="ar-SA"/>
              </w:rPr>
              <w:t>结果维持</w:t>
            </w:r>
          </w:p>
        </w:tc>
        <w:tc>
          <w:tcPr>
            <w:tcW w:w="604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29"/>
              <w:widowControl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cs="宋体" w:hint="eastAsia"/>
                <w:color w:val="auto"/>
                <w:kern w:val="0"/>
                <w:sz w:val="24"/>
                <w:szCs w:val="24"/>
                <w:lang w:bidi="ar-SA"/>
              </w:rPr>
              <w:t>结果纠正</w:t>
            </w:r>
          </w:p>
        </w:tc>
        <w:tc>
          <w:tcPr>
            <w:tcW w:w="60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29"/>
              <w:widowControl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cs="宋体" w:hint="eastAsia"/>
                <w:color w:val="auto"/>
                <w:kern w:val="0"/>
                <w:sz w:val="24"/>
                <w:szCs w:val="24"/>
                <w:lang w:bidi="ar-SA"/>
              </w:rPr>
              <w:t>其他结果</w:t>
            </w:r>
          </w:p>
        </w:tc>
        <w:tc>
          <w:tcPr>
            <w:tcW w:w="60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29"/>
              <w:widowControl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cs="宋体" w:hint="eastAsia"/>
                <w:color w:val="auto"/>
                <w:kern w:val="0"/>
                <w:sz w:val="24"/>
                <w:szCs w:val="24"/>
                <w:lang w:bidi="ar-SA"/>
              </w:rPr>
              <w:t>尚未审结</w:t>
            </w:r>
          </w:p>
        </w:tc>
        <w:tc>
          <w:tcPr>
            <w:tcW w:w="65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29"/>
              <w:widowControl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cs="宋体" w:hint="eastAsia"/>
                <w:color w:val="auto"/>
                <w:kern w:val="0"/>
                <w:sz w:val="24"/>
                <w:szCs w:val="24"/>
                <w:lang w:bidi="ar-SA"/>
              </w:rPr>
              <w:t>总计</w:t>
            </w:r>
          </w:p>
        </w:tc>
        <w:tc>
          <w:tcPr>
            <w:tcW w:w="297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29"/>
              <w:widowControl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cs="宋体" w:hint="eastAsia"/>
                <w:color w:val="auto"/>
                <w:kern w:val="0"/>
                <w:sz w:val="24"/>
                <w:szCs w:val="24"/>
                <w:lang w:bidi="ar-SA"/>
              </w:rPr>
              <w:t>未经复议直接起诉</w:t>
            </w:r>
          </w:p>
        </w:tc>
        <w:tc>
          <w:tcPr>
            <w:tcW w:w="3027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29"/>
              <w:widowControl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cs="宋体" w:hint="eastAsia"/>
                <w:color w:val="auto"/>
                <w:kern w:val="0"/>
                <w:sz w:val="24"/>
                <w:szCs w:val="24"/>
                <w:lang w:bidi="ar-SA"/>
              </w:rPr>
              <w:t>复议后起诉</w:t>
            </w:r>
          </w:p>
        </w:tc>
      </w:tr>
      <w:tr>
        <w:tc>
          <w:tcPr>
            <w:tcW w:w="60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604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60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60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658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5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29"/>
              <w:widowControl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cs="宋体" w:hint="eastAsia"/>
                <w:color w:val="auto"/>
                <w:kern w:val="0"/>
                <w:sz w:val="24"/>
                <w:szCs w:val="24"/>
                <w:lang w:bidi="ar-SA"/>
              </w:rPr>
              <w:t>结果维持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29"/>
              <w:widowControl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cs="宋体" w:hint="eastAsia"/>
                <w:color w:val="auto"/>
                <w:kern w:val="0"/>
                <w:sz w:val="24"/>
                <w:szCs w:val="24"/>
                <w:lang w:bidi="ar-SA"/>
              </w:rPr>
              <w:t>结果纠正</w:t>
            </w:r>
          </w:p>
        </w:tc>
        <w:tc>
          <w:tcPr>
            <w:tcW w:w="6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29"/>
              <w:widowControl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cs="宋体" w:hint="eastAsia"/>
                <w:color w:val="auto"/>
                <w:kern w:val="0"/>
                <w:sz w:val="24"/>
                <w:szCs w:val="24"/>
                <w:lang w:bidi="ar-SA"/>
              </w:rPr>
              <w:t>其他结果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29"/>
              <w:widowControl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cs="宋体" w:hint="eastAsia"/>
                <w:color w:val="auto"/>
                <w:kern w:val="0"/>
                <w:sz w:val="24"/>
                <w:szCs w:val="24"/>
                <w:lang w:bidi="ar-SA"/>
              </w:rPr>
              <w:t>尚未审结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29"/>
              <w:widowControl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cs="宋体" w:hint="eastAsia"/>
                <w:color w:val="auto"/>
                <w:kern w:val="0"/>
                <w:sz w:val="24"/>
                <w:szCs w:val="24"/>
                <w:lang w:bidi="ar-SA"/>
              </w:rPr>
              <w:t>总计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29"/>
              <w:widowControl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cs="宋体" w:hint="eastAsia"/>
                <w:color w:val="auto"/>
                <w:kern w:val="0"/>
                <w:sz w:val="24"/>
                <w:szCs w:val="24"/>
                <w:lang w:bidi="ar-SA"/>
              </w:rPr>
              <w:t>结果维持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29"/>
              <w:widowControl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cs="宋体" w:hint="eastAsia"/>
                <w:color w:val="auto"/>
                <w:kern w:val="0"/>
                <w:sz w:val="24"/>
                <w:szCs w:val="24"/>
                <w:lang w:bidi="ar-SA"/>
              </w:rPr>
              <w:t>结果纠正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29"/>
              <w:widowControl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cs="宋体" w:hint="eastAsia"/>
                <w:color w:val="auto"/>
                <w:kern w:val="0"/>
                <w:sz w:val="24"/>
                <w:szCs w:val="24"/>
                <w:lang w:bidi="ar-SA"/>
              </w:rPr>
              <w:t>其他结果</w:t>
            </w:r>
          </w:p>
        </w:tc>
        <w:tc>
          <w:tcPr>
            <w:tcW w:w="6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29"/>
              <w:widowControl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cs="宋体" w:hint="eastAsia"/>
                <w:color w:val="auto"/>
                <w:kern w:val="0"/>
                <w:sz w:val="24"/>
                <w:szCs w:val="24"/>
                <w:lang w:bidi="ar-SA"/>
              </w:rPr>
              <w:t>尚未审结</w:t>
            </w:r>
          </w:p>
        </w:tc>
        <w:tc>
          <w:tcPr>
            <w:tcW w:w="6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129"/>
              <w:widowControl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cs="宋体" w:hint="eastAsia"/>
                <w:color w:val="auto"/>
                <w:kern w:val="0"/>
                <w:sz w:val="24"/>
                <w:szCs w:val="24"/>
                <w:lang w:bidi="ar-SA"/>
              </w:rPr>
              <w:t>总计</w:t>
            </w:r>
          </w:p>
        </w:tc>
      </w:tr>
      <w:tr>
        <w:trPr>
          <w:trHeight w:val="862"/>
        </w:trPr>
        <w:tc>
          <w:tcPr>
            <w:tcW w:w="6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317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31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319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320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32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322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32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32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32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326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327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3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329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330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331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</w:tbl>
    <w:p>
      <w:pPr>
        <w:pStyle w:val="92"/>
        <w:widowControl/>
        <w:shd w:val="clear" w:color="auto" w:fill="FFFFFF"/>
        <w:spacing w:before="217" w:beforeAutospacing="0" w:afterAutospacing="0" w:line="560" w:lineRule="exact"/>
        <w:ind w:firstLineChars="200" w:firstLine="632"/>
        <w:jc w:val="both"/>
        <w:rPr>
          <w:rFonts w:ascii="方正黑体_GBK" w:eastAsia="方正黑体_GBK" w:cs="楷体_GB2312" w:hint="eastAsia"/>
          <w:bCs/>
          <w:sz w:val="32"/>
          <w:szCs w:val="32"/>
          <w:shd w:val="clear" w:color="auto" w:fill="FFFFFF"/>
          <w:lang w:bidi="ar-SA"/>
        </w:rPr>
      </w:pPr>
      <w:r>
        <w:rPr>
          <w:rFonts w:ascii="方正黑体_GBK" w:eastAsia="方正黑体_GBK" w:cs="楷体_GB2312" w:hint="eastAsia"/>
          <w:bCs/>
          <w:sz w:val="32"/>
          <w:szCs w:val="32"/>
          <w:shd w:val="clear" w:color="auto" w:fill="FFFFFF"/>
          <w:lang w:bidi="ar-SA"/>
        </w:rPr>
        <w:t>五、存在的主要问题及改进情况</w:t>
      </w:r>
    </w:p>
    <w:p>
      <w:pPr>
        <w:pStyle w:val="332"/>
        <w:adjustRightInd w:val="0"/>
        <w:snapToGrid w:val="0"/>
        <w:ind w:firstLineChars="200" w:firstLine="616"/>
        <w:rPr>
          <w:rFonts w:ascii="方正楷体_GBK" w:eastAsia="方正楷体_GBK" w:hint="eastAsia"/>
          <w:b/>
          <w:bCs/>
        </w:rPr>
      </w:pPr>
      <w:r>
        <w:rPr>
          <w:rFonts w:ascii="方正楷体_GBK" w:eastAsia="方正楷体_GBK" w:hint="eastAsia"/>
          <w:b/>
          <w:bCs/>
        </w:rPr>
        <w:t>（一）</w:t>
      </w:r>
      <w:r>
        <w:rPr>
          <w:rFonts w:eastAsia="方正楷体_GBK"/>
          <w:b/>
          <w:bCs/>
        </w:rPr>
        <w:t>202</w:t>
      </w:r>
      <w:r>
        <w:rPr>
          <w:rFonts w:eastAsia="方正楷体_GBK" w:hint="eastAsia"/>
          <w:b/>
          <w:bCs/>
          <w:lang w:val="en-US" w:eastAsia="zh-CN"/>
        </w:rPr>
        <w:t>4</w:t>
      </w:r>
      <w:r>
        <w:rPr>
          <w:rFonts w:ascii="方正楷体_GBK" w:eastAsia="方正楷体_GBK" w:hint="eastAsia"/>
          <w:b/>
          <w:bCs/>
        </w:rPr>
        <w:t>年年报中所提问题整改情况。</w:t>
      </w:r>
    </w:p>
    <w:p>
      <w:pPr>
        <w:pStyle w:val="332"/>
        <w:adjustRightInd w:val="0"/>
        <w:snapToGrid w:val="0"/>
        <w:ind w:firstLineChars="200" w:firstLine="616"/>
        <w:rPr>
          <w:rFonts w:eastAsia="方正仿宋_GBK"/>
          <w:bCs/>
          <w:lang w:val="en-US" w:eastAsia="zh-CN"/>
        </w:rPr>
      </w:pPr>
      <w:r>
        <w:rPr>
          <w:bCs/>
        </w:rPr>
        <w:t>针对202</w:t>
      </w:r>
      <w:r>
        <w:rPr>
          <w:rFonts w:hint="eastAsia"/>
          <w:bCs/>
          <w:lang w:val="en-US" w:eastAsia="zh-CN"/>
        </w:rPr>
        <w:t>4</w:t>
      </w:r>
      <w:r>
        <w:rPr>
          <w:bCs/>
        </w:rPr>
        <w:t>年自查发现的问题，</w:t>
      </w:r>
      <w:r>
        <w:rPr>
          <w:rFonts w:hint="eastAsia"/>
          <w:bCs/>
        </w:rPr>
        <w:t>我关从</w:t>
      </w:r>
      <w:r>
        <w:rPr>
          <w:rFonts w:hint="eastAsia"/>
          <w:bCs/>
          <w:lang w:val="en-US" w:eastAsia="zh-CN"/>
        </w:rPr>
        <w:t>两</w:t>
      </w:r>
      <w:r>
        <w:rPr>
          <w:rFonts w:hint="eastAsia"/>
          <w:bCs/>
        </w:rPr>
        <w:t>个方面做好整改工作。</w:t>
      </w:r>
      <w:r>
        <w:rPr>
          <w:rFonts w:hint="eastAsia"/>
          <w:bCs/>
          <w:lang w:val="en-US" w:eastAsia="zh-CN"/>
        </w:rPr>
        <w:t>一是明确工作流程，</w:t>
      </w:r>
      <w:r>
        <w:rPr>
          <w:bCs/>
          <w:lang w:val="en-US" w:eastAsia="zh-CN"/>
        </w:rPr>
        <w:t>进一步完善</w:t>
      </w:r>
      <w:r>
        <w:rPr>
          <w:rFonts w:hint="eastAsia"/>
          <w:bCs/>
          <w:lang w:val="en-US" w:eastAsia="zh-CN"/>
        </w:rPr>
        <w:t>政府信息公开工作</w:t>
      </w:r>
      <w:r>
        <w:rPr>
          <w:bCs/>
          <w:lang w:val="en-US" w:eastAsia="zh-CN"/>
        </w:rPr>
        <w:t>相关制度</w:t>
      </w:r>
      <w:r>
        <w:rPr>
          <w:rFonts w:hint="eastAsia"/>
          <w:bCs/>
          <w:lang w:val="en-US" w:eastAsia="zh-CN"/>
        </w:rPr>
        <w:t>，对主动公开事项的办理时限进行明确，切实做好对外公开；二是指派专人梳理上一年度对外公开事项内容，结合科室工作实际提前做好工作提醒，确保相关事项能够准确及时对外发布。</w:t>
      </w:r>
    </w:p>
    <w:p>
      <w:pPr>
        <w:pStyle w:val="333"/>
        <w:numPr>
          <w:ilvl w:val="0"/>
          <w:numId w:val="1"/>
        </w:numPr>
        <w:adjustRightInd w:val="0"/>
        <w:snapToGrid w:val="0"/>
        <w:ind w:left="0" w:firstLineChars="200" w:firstLine="616"/>
        <w:rPr>
          <w:rFonts w:ascii="方正楷体_GBK" w:eastAsia="方正楷体_GBK" w:hint="eastAsia"/>
          <w:b/>
          <w:bCs/>
        </w:rPr>
      </w:pPr>
      <w:r>
        <w:rPr>
          <w:rFonts w:ascii="方正楷体_GBK" w:eastAsia="方正楷体_GBK" w:hint="eastAsia"/>
          <w:b/>
          <w:bCs/>
        </w:rPr>
        <w:t>目前存在问题。</w:t>
      </w:r>
    </w:p>
    <w:p>
      <w:pPr>
        <w:pStyle w:val="33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0" w:firstLineChars="200" w:firstLine="616"/>
        <w:textAlignment w:val="auto"/>
        <w:rPr>
          <w:rFonts w:ascii="方正仿宋_GBK" w:eastAsia="方正楷体_GBK" w:hAnsi="方正仿宋_GBK"/>
          <w:sz w:val="32"/>
          <w:szCs w:val="32"/>
          <w:lang w:val="en-US" w:eastAsia="zh-CN"/>
        </w:rPr>
      </w:pPr>
      <w:r>
        <w:rPr>
          <w:rFonts w:ascii="方正仿宋_GBK" w:hint="eastAsia"/>
          <w:sz w:val="32"/>
          <w:szCs w:val="32"/>
          <w:lang w:val="en-US" w:eastAsia="zh-CN"/>
        </w:rPr>
        <w:t>部分公示栏公示的材料更新</w:t>
      </w:r>
      <w:r>
        <w:rPr>
          <w:rFonts w:ascii="方正仿宋_GBK"/>
          <w:sz w:val="32"/>
          <w:szCs w:val="32"/>
          <w:lang w:val="en-US" w:eastAsia="zh-CN"/>
        </w:rPr>
        <w:t>还</w:t>
      </w:r>
      <w:r>
        <w:rPr>
          <w:rFonts w:ascii="方正仿宋_GBK" w:hint="eastAsia"/>
          <w:sz w:val="32"/>
          <w:szCs w:val="32"/>
          <w:lang w:val="en-US" w:eastAsia="zh-CN"/>
        </w:rPr>
        <w:t>不</w:t>
      </w:r>
      <w:r>
        <w:rPr>
          <w:rFonts w:ascii="方正仿宋_GBK"/>
          <w:sz w:val="32"/>
          <w:szCs w:val="32"/>
          <w:lang w:val="en-US" w:eastAsia="zh-CN"/>
        </w:rPr>
        <w:t>够</w:t>
      </w:r>
      <w:r>
        <w:rPr>
          <w:rFonts w:ascii="方正仿宋_GBK" w:hint="eastAsia"/>
          <w:sz w:val="32"/>
          <w:szCs w:val="32"/>
          <w:lang w:val="en-US" w:eastAsia="zh-CN"/>
        </w:rPr>
        <w:t>及时。</w:t>
      </w:r>
    </w:p>
    <w:p>
      <w:pPr>
        <w:pStyle w:val="92"/>
        <w:widowControl/>
        <w:shd w:val="clear" w:color="auto" w:fill="FFFFFF"/>
        <w:spacing w:beforeAutospacing="0" w:afterAutospacing="0" w:line="560" w:lineRule="exact"/>
        <w:ind w:firstLineChars="200" w:firstLine="632"/>
        <w:jc w:val="both"/>
        <w:rPr>
          <w:rFonts w:ascii="方正黑体_GBK" w:eastAsia="方正黑体_GBK" w:cs="楷体_GB2312" w:hint="eastAsia"/>
          <w:bCs/>
          <w:color w:val="auto"/>
          <w:sz w:val="32"/>
          <w:szCs w:val="32"/>
          <w:shd w:val="clear" w:color="auto" w:fill="FFFFFF"/>
          <w:lang w:bidi="ar-SA"/>
        </w:rPr>
      </w:pPr>
      <w:r>
        <w:rPr>
          <w:rFonts w:ascii="方正黑体_GBK" w:eastAsia="方正黑体_GBK" w:cs="楷体_GB2312" w:hint="eastAsia"/>
          <w:bCs/>
          <w:color w:val="auto"/>
          <w:sz w:val="32"/>
          <w:szCs w:val="32"/>
          <w:shd w:val="clear" w:color="auto" w:fill="FFFFFF"/>
          <w:lang w:bidi="ar-SA"/>
        </w:rPr>
        <w:t>六、其他需要报告的事项</w:t>
      </w:r>
    </w:p>
    <w:p>
      <w:pPr>
        <w:pStyle w:val="334"/>
        <w:adjustRightInd w:val="0"/>
        <w:snapToGrid w:val="0"/>
        <w:ind w:firstLineChars="200" w:firstLine="616"/>
        <w:jc w:val="left"/>
        <w:rPr>
          <w:rFonts w:ascii="方正仿宋_GBK" w:eastAsia="方正仿宋_GBK" w:hint="eastAsia"/>
          <w:sz w:val="32"/>
          <w:szCs w:val="32"/>
        </w:rPr>
      </w:pPr>
      <w:r>
        <w:t>2025年无收取信息处理费情况。</w:t>
      </w:r>
      <w:bookmarkEnd w:id="0"/>
    </w:p>
    <w:p>
      <w:pPr>
        <w:jc w:val="left"/>
      </w:pPr>
      <w:bookmarkStart w:id="1" w:name="_GoBack"/>
      <w:bookmarkEnd w:id="1"/>
    </w:p>
    <w:sectPr>
      <w:footerReference w:type="default" r:id="rId2"/>
      <w:footerReference w:type="even" r:id="rId3"/>
      <w:footerReference w:type="first" r:id="rId4"/>
      <w:pgSz w:w="11907" w:h="16840"/>
      <w:pgMar w:top="2098" w:right="1418" w:bottom="1985" w:left="1588" w:header="851" w:footer="992" w:gutter="0"/>
      <w:pgNumType/>
      <w:titlePg/>
      <w:docGrid w:type="linesAndChars" w:linePitch="579" w:charSpace="-849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方正小标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楷体_GB2312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方正仿宋_GBK">
    <w:altName w:val="Arial Unicode MS"/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variable"/>
    <w:sig w:usb0="00000001" w:usb1="080E0000" w:usb2="00000000" w:usb3="00000000" w:csb0="00040000" w:csb1="00000000"/>
  </w:font>
  <w:font w:name="Courier New">
    <w:panose1 w:val="02070409020205090404"/>
    <w:charset w:val="00"/>
    <w:family w:val="auto"/>
    <w:pitch w:val="variable"/>
    <w:sig w:usb0="00007A87" w:usb1="80000000" w:usb2="00000008" w:usb3="00000000" w:csb0="400001FF" w:csb1="FFFF0000"/>
  </w:font>
  <w:font w:name="Wingdings">
    <w:panose1 w:val="05000000000000000000"/>
    <w:charset w:val="02"/>
    <w:family w:val="auto"/>
    <w:pitch w:val="variable"/>
    <w:sig w:usb0="00000000" w:usb1="00000000" w:usb2="00000000" w:usb3="00000000" w:csb0="80000000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336"/>
      <w:framePr w:w="1048" w:hRule="auto" w:wrap="around" w:vAnchor="text" w:hAnchor="page" w:x="9304" w:y="-657" w:anchorLock="0"/>
      <w:tabs>
        <w:tab w:val="center" w:pos="4153"/>
        <w:tab w:val="right" w:pos="8306"/>
      </w:tabs>
      <w:rPr>
        <w:rStyle w:val="42"/>
      </w:rPr>
    </w:pPr>
    <w:r>
      <w:rPr>
        <w:rStyle w:val="42"/>
        <w:rFonts w:hint="eastAsia"/>
        <w:sz w:val="28"/>
      </w:rPr>
      <w:t>－</w:t>
    </w:r>
    <w:r>
      <w:rPr>
        <w:rStyle w:val="42"/>
        <w:rFonts w:ascii="宋体" w:eastAsia="宋体" w:hint="eastAsia"/>
        <w:sz w:val="28"/>
      </w:rPr>
      <w:fldChar w:fldCharType="begin"/>
    </w:r>
    <w:r>
      <w:rPr>
        <w:rStyle w:val="42"/>
        <w:rFonts w:ascii="宋体" w:eastAsia="宋体" w:hint="eastAsia"/>
        <w:sz w:val="28"/>
      </w:rPr>
      <w:instrText xml:space="preserve">PAGE  </w:instrText>
    </w:r>
    <w:r>
      <w:rPr>
        <w:rStyle w:val="42"/>
        <w:rFonts w:ascii="宋体" w:eastAsia="宋体" w:hint="eastAsia"/>
        <w:sz w:val="28"/>
      </w:rPr>
      <w:fldChar w:fldCharType="separate"/>
    </w:r>
    <w:r>
      <w:rPr>
        <w:rStyle w:val="42"/>
        <w:rFonts w:ascii="宋体" w:eastAsia="宋体" w:hint="eastAsia"/>
        <w:sz w:val="28"/>
        <w:lang w:val="en-US" w:eastAsia="zh-CN"/>
      </w:rPr>
      <w:t>3</w:t>
    </w:r>
    <w:r>
      <w:rPr>
        <w:rStyle w:val="42"/>
        <w:rFonts w:ascii="宋体" w:eastAsia="宋体" w:hint="eastAsia"/>
        <w:sz w:val="28"/>
      </w:rPr>
      <w:fldChar w:fldCharType="end"/>
    </w:r>
    <w:r>
      <w:rPr>
        <w:rStyle w:val="42"/>
        <w:rFonts w:hint="eastAsia"/>
        <w:sz w:val="28"/>
      </w:rPr>
      <w:t>－</w:t>
    </w:r>
  </w:p>
  <w:p>
    <w:pPr>
      <w:pStyle w:val="336"/>
      <w:tabs>
        <w:tab w:val="center" w:pos="4153"/>
        <w:tab w:val="right" w:pos="8306"/>
      </w:tabs>
      <w:ind w:right="360" w:firstLine="360"/>
    </w:pPr>
  </w:p>
</w:ftr>
</file>

<file path=word/footer2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335"/>
      <w:framePr w:w="0" w:hRule="exact" w:h="398" w:wrap="around" w:vAnchor="text" w:hAnchor="page" w:x="1577" w:y="-673" w:anchorLock="0"/>
      <w:tabs>
        <w:tab w:val="center" w:pos="4153"/>
        <w:tab w:val="right" w:pos="8306"/>
      </w:tabs>
      <w:ind w:firstLineChars="100" w:firstLine="280"/>
      <w:rPr>
        <w:rStyle w:val="42"/>
        <w:rFonts w:hint="eastAsia"/>
      </w:rPr>
    </w:pPr>
    <w:r>
      <w:rPr>
        <w:rStyle w:val="42"/>
        <w:rFonts w:hint="eastAsia"/>
        <w:sz w:val="28"/>
      </w:rPr>
      <w:t>－</w:t>
    </w:r>
    <w:r>
      <w:rPr>
        <w:rStyle w:val="42"/>
        <w:rFonts w:ascii="宋体" w:eastAsia="宋体" w:hint="eastAsia"/>
        <w:sz w:val="28"/>
        <w:szCs w:val="28"/>
      </w:rPr>
      <w:fldChar w:fldCharType="begin"/>
    </w:r>
    <w:r>
      <w:rPr>
        <w:rStyle w:val="42"/>
        <w:rFonts w:ascii="宋体" w:eastAsia="宋体" w:hint="eastAsia"/>
        <w:sz w:val="28"/>
        <w:szCs w:val="28"/>
      </w:rPr>
      <w:instrText xml:space="preserve">PAGE  </w:instrText>
    </w:r>
    <w:r>
      <w:rPr>
        <w:rStyle w:val="42"/>
        <w:rFonts w:ascii="宋体" w:eastAsia="宋体" w:hint="eastAsia"/>
        <w:sz w:val="28"/>
        <w:szCs w:val="28"/>
      </w:rPr>
      <w:fldChar w:fldCharType="separate"/>
    </w:r>
    <w:r>
      <w:rPr>
        <w:rStyle w:val="42"/>
        <w:rFonts w:ascii="宋体" w:eastAsia="宋体" w:hint="eastAsia"/>
        <w:sz w:val="28"/>
        <w:szCs w:val="28"/>
        <w:lang w:val="en-US" w:eastAsia="zh-CN"/>
      </w:rPr>
      <w:t>2</w:t>
    </w:r>
    <w:r>
      <w:rPr>
        <w:rStyle w:val="42"/>
        <w:rFonts w:ascii="宋体" w:eastAsia="宋体" w:hint="eastAsia"/>
        <w:sz w:val="28"/>
        <w:szCs w:val="28"/>
      </w:rPr>
      <w:fldChar w:fldCharType="end"/>
    </w:r>
    <w:r>
      <w:rPr>
        <w:rStyle w:val="42"/>
        <w:rFonts w:hint="eastAsia"/>
        <w:sz w:val="28"/>
      </w:rPr>
      <w:t>－</w:t>
    </w:r>
  </w:p>
  <w:p>
    <w:pPr>
      <w:pStyle w:val="335"/>
      <w:tabs>
        <w:tab w:val="center" w:pos="4153"/>
        <w:tab w:val="right" w:pos="8306"/>
      </w:tabs>
      <w:ind w:right="360" w:firstLine="360"/>
    </w:pPr>
  </w:p>
</w:ftr>
</file>

<file path=word/footer3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337"/>
      <w:tabs>
        <w:tab w:val="center" w:pos="4153"/>
        <w:tab w:val="right" w:pos="8306"/>
      </w:tabs>
    </w:pPr>
    <w:r>
      <mc:AlternateContent>
        <mc:Choice Requires="wps">
          <w:drawing>
            <wp:anchor distT="0" distB="0" distL="85723" distR="85723" simplePos="0" relativeHeight="2" behindDoc="1" locked="0" layoutInCell="1" hidden="0" allowOverlap="1">
              <wp:simplePos x="0" y="0"/>
              <wp:positionH relativeFrom="page">
                <wp:align>center</wp:align>
              </wp:positionH>
              <wp:positionV relativeFrom="page">
                <wp:posOffset>9886951</wp:posOffset>
              </wp:positionV>
              <wp:extent cx="6117589" cy="0"/>
              <wp:effectExtent l="0" t="0" r="0" b="0"/>
              <wp:wrapNone/>
              <wp:docPr id="1" name="直线 1025"/>
              <wp:cNvGraphicFramePr>
                <a:graphicFrameLocks noChangeAspect="0"/>
              </wp:cNvGraphicFramePr>
              <a:graphic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6117589" cy="0"/>
                      </a:xfrm>
                      <a:prstGeom prst="line"/>
                      <a:noFill/>
                      <a:ln w="57150" cmpd="thinThick" cap="flat">
                        <a:solidFill>
                          <a:srgbClr val="FF0000"/>
                        </a:solidFill>
                        <a:prstDash val="solid"/>
                        <a:miter/>
                      </a:ln>
                    </wps:spPr>
                    <wps:bodyPr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type="#_x0000_t20" id="直线 1025 2" o:spid="_x0000_s2" from="64.2pt,778.50006pt" to="545.89996pt,778.50006pt" filled="f" stroked="t" strokeweight="4.5pt" style="position:absolute;z-index:-5;mso-position-horizontal:center;mso-position-horizontal-relative:page;mso-position-vertical:absolute;mso-position-vertical-relative:page;mso-wrap-distance-left:6.7498426pt;mso-wrap-distance-right:6.7498426pt;">
              <v:stroke linestyle="thinThick" color="#FF0000"/>
            </v:line>
          </w:pict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mc="http://schemas.openxmlformats.org/markup-compatibility/2006" xmlns:w14="http://schemas.microsoft.com/office/word/2010/wordml">
  <w:abstractNum w:abstractNumId="0">
    <w:nsid w:val="AF288CE0"/>
    <w:multiLevelType w:val="singleLevel"/>
    <w:tmpl w:val="AF288CE0"/>
    <w:lvl w:ilvl="0">
      <w:start w:val="2"/>
      <w:numFmt w:val="chineseCounting"/>
      <w:lvlRestart w:val="0"/>
      <w:suff w:val="nothing"/>
      <w:lvlText w:val="（%1）"/>
      <w:lvlJc w:val="left"/>
      <w:pPr>
        <w:ind w:left="0" w:hanging="0"/>
      </w:pPr>
      <w:rPr>
        <w:rFonts w:hint="eastAsia"/>
      </w:rPr>
    </w:lvl>
  </w:abstractNum>
  <w:abstractNum w:abstractNumId="1">
    <w:nsid w:val="0FFFFF89"/>
    <w:multiLevelType w:val="singleLevel"/>
    <w:tmpl w:val="00000000"/>
    <w:lvl w:ilvl="0">
      <w:start w:val="1"/>
      <w:numFmt w:val="bullet"/>
      <w:lvlRestart w:val="0"/>
      <w:pStyle w:val="48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>
    <w:nsid w:val="0FFFFF88"/>
    <w:multiLevelType w:val="singleLevel"/>
    <w:tmpl w:val="00000000"/>
    <w:lvl w:ilvl="0">
      <w:start w:val="1"/>
      <w:numFmt w:val="decimal"/>
      <w:lvlRestart w:val="0"/>
      <w:pStyle w:val="49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0FFFFF83"/>
    <w:multiLevelType w:val="singleLevel"/>
    <w:tmpl w:val="00000000"/>
    <w:lvl w:ilvl="0">
      <w:start w:val="1"/>
      <w:numFmt w:val="bullet"/>
      <w:lvlRestart w:val="0"/>
      <w:pStyle w:val="54"/>
      <w:lvlText w:val="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</w:abstractNum>
  <w:abstractNum w:abstractNumId="4">
    <w:nsid w:val="0FFFFF82"/>
    <w:multiLevelType w:val="singleLevel"/>
    <w:tmpl w:val="00000000"/>
    <w:lvl w:ilvl="0">
      <w:start w:val="1"/>
      <w:numFmt w:val="bullet"/>
      <w:lvlRestart w:val="0"/>
      <w:pStyle w:val="55"/>
      <w:lvlText w:val=""/>
      <w:lvlJc w:val="left"/>
      <w:pPr>
        <w:tabs>
          <w:tab w:val="num" w:pos="1200"/>
        </w:tabs>
        <w:ind w:left="1200" w:hanging="360"/>
      </w:pPr>
      <w:rPr>
        <w:rFonts w:ascii="Wingdings" w:hAnsi="Wingdings" w:hint="default"/>
      </w:rPr>
    </w:lvl>
  </w:abstractNum>
  <w:abstractNum w:abstractNumId="5">
    <w:nsid w:val="0FFFFF81"/>
    <w:multiLevelType w:val="singleLevel"/>
    <w:tmpl w:val="00000000"/>
    <w:lvl w:ilvl="0">
      <w:start w:val="1"/>
      <w:numFmt w:val="bullet"/>
      <w:lvlRestart w:val="0"/>
      <w:pStyle w:val="56"/>
      <w:lvlText w:val="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</w:abstractNum>
  <w:abstractNum w:abstractNumId="6">
    <w:nsid w:val="0FFFFF80"/>
    <w:multiLevelType w:val="singleLevel"/>
    <w:tmpl w:val="00000000"/>
    <w:lvl w:ilvl="0">
      <w:start w:val="1"/>
      <w:numFmt w:val="bullet"/>
      <w:lvlRestart w:val="0"/>
      <w:pStyle w:val="57"/>
      <w:lvlText w:val="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</w:abstractNum>
  <w:abstractNum w:abstractNumId="7">
    <w:nsid w:val="0FFFFF7F"/>
    <w:multiLevelType w:val="singleLevel"/>
    <w:tmpl w:val="00000000"/>
    <w:lvl w:ilvl="0">
      <w:start w:val="1"/>
      <w:numFmt w:val="decimal"/>
      <w:lvlRestart w:val="0"/>
      <w:pStyle w:val="58"/>
      <w:lvlText w:val="%1."/>
      <w:lvlJc w:val="left"/>
      <w:pPr>
        <w:tabs>
          <w:tab w:val="num" w:pos="780"/>
        </w:tabs>
        <w:ind w:left="780" w:hanging="360"/>
      </w:pPr>
    </w:lvl>
  </w:abstractNum>
  <w:abstractNum w:abstractNumId="8">
    <w:nsid w:val="0FFFFF7E"/>
    <w:multiLevelType w:val="singleLevel"/>
    <w:tmpl w:val="00000000"/>
    <w:lvl w:ilvl="0">
      <w:start w:val="1"/>
      <w:numFmt w:val="decimal"/>
      <w:lvlRestart w:val="0"/>
      <w:pStyle w:val="59"/>
      <w:lvlText w:val="%1."/>
      <w:lvlJc w:val="left"/>
      <w:pPr>
        <w:tabs>
          <w:tab w:val="num" w:pos="1200"/>
        </w:tabs>
        <w:ind w:left="1200" w:hanging="360"/>
      </w:pPr>
    </w:lvl>
  </w:abstractNum>
  <w:abstractNum w:abstractNumId="9">
    <w:nsid w:val="0FFFFF7D"/>
    <w:multiLevelType w:val="singleLevel"/>
    <w:tmpl w:val="00000000"/>
    <w:lvl w:ilvl="0">
      <w:start w:val="1"/>
      <w:numFmt w:val="decimal"/>
      <w:lvlRestart w:val="0"/>
      <w:pStyle w:val="60"/>
      <w:lvlText w:val="%1."/>
      <w:lvlJc w:val="left"/>
      <w:pPr>
        <w:tabs>
          <w:tab w:val="num" w:pos="1620"/>
        </w:tabs>
        <w:ind w:left="1620" w:hanging="360"/>
      </w:pPr>
    </w:lvl>
  </w:abstractNum>
  <w:abstractNum w:abstractNumId="10">
    <w:nsid w:val="0FFFFF7C"/>
    <w:multiLevelType w:val="singleLevel"/>
    <w:tmpl w:val="00000000"/>
    <w:lvl w:ilvl="0">
      <w:start w:val="1"/>
      <w:numFmt w:val="decimal"/>
      <w:lvlRestart w:val="0"/>
      <w:pStyle w:val="61"/>
      <w:lvlText w:val="%1."/>
      <w:lvlJc w:val="left"/>
      <w:pPr>
        <w:tabs>
          <w:tab w:val="num" w:pos="2040"/>
        </w:tabs>
        <w:ind w:left="204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88"/>
  <w:doNotDisplayPageBoundaries/>
  <w:displayBackgroundShape/>
  <w:bordersDoNotSurroundHeader/>
  <w:bordersDoNotSurroundFooter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index 5"/>
    <w:basedOn w:val="0"/>
    <w:autoRedefine/>
    <w:next w:val="0"/>
    <w:pPr>
      <w:ind w:left="1680"/>
    </w:pPr>
  </w:style>
  <w:style w:type="paragraph" w:styleId="16">
    <w:name w:val="index 6"/>
    <w:basedOn w:val="0"/>
    <w:autoRedefine/>
    <w:next w:val="0"/>
    <w:pPr>
      <w:ind w:left="2100"/>
    </w:pPr>
  </w:style>
  <w:style w:type="paragraph" w:styleId="17">
    <w:name w:val="index 7"/>
    <w:basedOn w:val="0"/>
    <w:autoRedefine/>
    <w:next w:val="0"/>
    <w:pPr>
      <w:ind w:left="2520"/>
    </w:pPr>
  </w:style>
  <w:style w:type="paragraph" w:styleId="18">
    <w:name w:val="index 8"/>
    <w:basedOn w:val="0"/>
    <w:autoRedefine/>
    <w:next w:val="0"/>
    <w:pPr>
      <w:ind w:left="2940"/>
    </w:pPr>
  </w:style>
  <w:style w:type="paragraph" w:styleId="19">
    <w:name w:val="index 9"/>
    <w:basedOn w:val="0"/>
    <w:autoRedefine/>
    <w:next w:val="0"/>
    <w:pPr>
      <w:ind w:left="3360"/>
    </w:pPr>
  </w:style>
  <w:style w:type="paragraph" w:styleId="20">
    <w:name w:val="toc 1"/>
    <w:basedOn w:val="0"/>
    <w:autoRedefine/>
    <w:next w:val="0"/>
  </w:style>
  <w:style w:type="paragraph" w:styleId="21">
    <w:name w:val="toc 2"/>
    <w:basedOn w:val="0"/>
    <w:autoRedefine/>
    <w:next w:val="0"/>
    <w:pPr>
      <w:ind w:left="420"/>
    </w:pPr>
  </w:style>
  <w:style w:type="paragraph" w:styleId="22">
    <w:name w:val="toc 3"/>
    <w:basedOn w:val="0"/>
    <w:autoRedefine/>
    <w:next w:val="0"/>
    <w:pPr>
      <w:ind w:left="840"/>
    </w:pPr>
  </w:style>
  <w:style w:type="paragraph" w:styleId="23">
    <w:name w:val="toc 4"/>
    <w:basedOn w:val="0"/>
    <w:autoRedefine/>
    <w:next w:val="0"/>
    <w:pPr>
      <w:ind w:left="1260"/>
    </w:pPr>
  </w:style>
  <w:style w:type="paragraph" w:styleId="24">
    <w:name w:val="toc 5"/>
    <w:basedOn w:val="0"/>
    <w:autoRedefine/>
    <w:next w:val="0"/>
    <w:pPr>
      <w:ind w:left="1680"/>
    </w:pPr>
  </w:style>
  <w:style w:type="paragraph" w:styleId="26">
    <w:name w:val="toc 7"/>
    <w:basedOn w:val="0"/>
    <w:autoRedefine/>
    <w:next w:val="0"/>
    <w:pPr>
      <w:ind w:left="2520"/>
    </w:pPr>
  </w:style>
  <w:style w:type="paragraph" w:styleId="27">
    <w:name w:val="toc 8"/>
    <w:basedOn w:val="0"/>
    <w:autoRedefine/>
    <w:next w:val="0"/>
    <w:pPr>
      <w:ind w:left="2940"/>
    </w:pPr>
  </w:style>
  <w:style w:type="paragraph" w:styleId="28">
    <w:name w:val="toc 9"/>
    <w:autoRedefine/>
    <w:next w:val="0"/>
    <w:pPr>
      <w:widowControl w:val="0"/>
      <w:ind w:left="336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styleId="29">
    <w:name w:val="Normal Indent"/>
    <w:basedOn w:val="0"/>
    <w:pPr>
      <w:ind w:firstLine="420"/>
    </w:pPr>
  </w:style>
  <w:style w:type="paragraph" w:styleId="30">
    <w:name w:val="footnote text"/>
    <w:basedOn w:val="0"/>
    <w:pPr>
      <w:snapToGrid w:val="0"/>
      <w:jc w:val="left"/>
    </w:pPr>
    <w:rPr>
      <w:sz w:val="18"/>
    </w:rPr>
  </w:style>
  <w:style w:type="paragraph" w:styleId="31">
    <w:name w:val="annotation text"/>
    <w:basedOn w:val="0"/>
    <w:pPr>
      <w:jc w:val="left"/>
    </w:pPr>
  </w:style>
  <w:style w:type="paragraph" w:styleId="32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33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34">
    <w:name w:val="index heading"/>
    <w:basedOn w:val="0"/>
    <w:next w:val="11"/>
    <w:rPr>
      <w:rFonts w:ascii="Arial" w:hAnsi="Arial"/>
      <w:b/>
    </w:rPr>
  </w:style>
  <w:style w:type="paragraph" w:styleId="35">
    <w:name w:val="caption"/>
    <w:basedOn w:val="0"/>
    <w:next w:val="0"/>
    <w:rPr>
      <w:rFonts w:ascii="Arial" w:eastAsia="黑体" w:hAnsi="Arial"/>
      <w:b/>
      <w:sz w:val="20"/>
    </w:rPr>
  </w:style>
  <w:style w:type="paragraph" w:styleId="36">
    <w:name w:val="table of figures"/>
    <w:basedOn w:val="0"/>
    <w:next w:val="0"/>
  </w:style>
  <w:style w:type="paragraph" w:styleId="37">
    <w:name w:val="envelope address"/>
    <w:basedOn w:val="0"/>
    <w:pPr>
      <w:snapToGrid w:val="0"/>
      <w:ind w:left="2880"/>
    </w:pPr>
    <w:rPr>
      <w:rFonts w:ascii="Arial" w:hAnsi="Arial"/>
      <w:sz w:val="24"/>
    </w:rPr>
  </w:style>
  <w:style w:type="paragraph" w:styleId="38">
    <w:name w:val="envelope return"/>
    <w:basedOn w:val="0"/>
    <w:pPr>
      <w:snapToGrid w:val="0"/>
    </w:pPr>
    <w:rPr>
      <w:rFonts w:ascii="Arial" w:hAnsi="Arial"/>
    </w:rPr>
  </w:style>
  <w:style w:type="character" w:styleId="39">
    <w:name w:val="footnote reference"/>
    <w:basedOn w:val="10"/>
    <w:rPr>
      <w:vertAlign w:val="superscript"/>
    </w:rPr>
  </w:style>
  <w:style w:type="character" w:styleId="40">
    <w:name w:val="annotation reference"/>
    <w:basedOn w:val="10"/>
    <w:rPr>
      <w:sz w:val="21"/>
    </w:rPr>
  </w:style>
  <w:style w:type="character" w:styleId="41">
    <w:name w:val="line number"/>
    <w:basedOn w:val="10"/>
  </w:style>
  <w:style w:type="character" w:styleId="42">
    <w:name w:val="page number"/>
  </w:style>
  <w:style w:type="character" w:styleId="43">
    <w:name w:val="endnote reference"/>
    <w:basedOn w:val="10"/>
    <w:rPr>
      <w:vertAlign w:val="superscript"/>
    </w:rPr>
  </w:style>
  <w:style w:type="paragraph" w:styleId="44">
    <w:name w:val="endnote text"/>
    <w:basedOn w:val="0"/>
    <w:pPr>
      <w:snapToGrid w:val="0"/>
      <w:jc w:val="left"/>
    </w:pPr>
  </w:style>
  <w:style w:type="paragraph" w:styleId="45">
    <w:name w:val="table of authorities"/>
    <w:basedOn w:val="0"/>
    <w:next w:val="0"/>
    <w:pPr>
      <w:ind w:left="420"/>
    </w:pPr>
  </w:style>
  <w:style w:type="paragraph" w:styleId="46">
    <w:name w:val="macro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  <w:jc w:val="left"/>
    </w:pPr>
    <w:rPr>
      <w:rFonts w:ascii="Courier New" w:eastAsia="宋体" w:hAnsi="Courier New"/>
      <w:sz w:val="24"/>
    </w:rPr>
  </w:style>
  <w:style w:type="paragraph" w:styleId="47">
    <w:name w:val="toa heading"/>
    <w:basedOn w:val="0"/>
    <w:next w:val="0"/>
    <w:pPr>
      <w:spacing w:before="120"/>
    </w:pPr>
    <w:rPr>
      <w:rFonts w:ascii="Arial" w:hAnsi="Arial"/>
      <w:sz w:val="24"/>
    </w:rPr>
  </w:style>
  <w:style w:type="paragraph" w:styleId="48">
    <w:name w:val="List"/>
    <w:basedOn w:val="0"/>
    <w:pPr>
      <w:ind w:left="420" w:hanging="420"/>
    </w:pPr>
  </w:style>
  <w:style w:type="paragraph" w:styleId="49">
    <w:name w:val="List Bullet"/>
    <w:basedOn w:val="0"/>
    <w:pPr>
      <w:numPr>
        <w:ilvl w:val="0"/>
        <w:numId w:val="2"/>
      </w:numPr>
    </w:pPr>
  </w:style>
  <w:style w:type="paragraph" w:styleId="50">
    <w:name w:val="List Number"/>
    <w:basedOn w:val="0"/>
    <w:pPr>
      <w:numPr>
        <w:ilvl w:val="0"/>
        <w:numId w:val="3"/>
      </w:numPr>
    </w:pPr>
  </w:style>
  <w:style w:type="paragraph" w:styleId="51">
    <w:name w:val="List 2"/>
    <w:basedOn w:val="0"/>
    <w:pPr>
      <w:ind w:left="840" w:hanging="420"/>
    </w:pPr>
  </w:style>
  <w:style w:type="paragraph" w:styleId="52">
    <w:name w:val="List 3"/>
    <w:basedOn w:val="0"/>
    <w:pPr>
      <w:ind w:left="1260" w:hanging="420"/>
    </w:pPr>
  </w:style>
  <w:style w:type="paragraph" w:styleId="53">
    <w:name w:val="List 4"/>
    <w:basedOn w:val="0"/>
    <w:pPr>
      <w:ind w:left="1680" w:hanging="420"/>
    </w:pPr>
  </w:style>
  <w:style w:type="paragraph" w:styleId="54">
    <w:name w:val="List 5"/>
    <w:basedOn w:val="0"/>
    <w:pPr>
      <w:ind w:left="2100" w:hanging="420"/>
    </w:pPr>
  </w:style>
  <w:style w:type="paragraph" w:styleId="55">
    <w:name w:val="List Bullet 2"/>
    <w:basedOn w:val="0"/>
    <w:pPr>
      <w:numPr>
        <w:ilvl w:val="0"/>
        <w:numId w:val="4"/>
      </w:numPr>
    </w:pPr>
  </w:style>
  <w:style w:type="paragraph" w:styleId="56">
    <w:name w:val="List Bullet 3"/>
    <w:basedOn w:val="0"/>
    <w:pPr>
      <w:numPr>
        <w:ilvl w:val="0"/>
        <w:numId w:val="5"/>
      </w:numPr>
    </w:pPr>
  </w:style>
  <w:style w:type="paragraph" w:styleId="57">
    <w:name w:val="List Bullet 4"/>
    <w:basedOn w:val="0"/>
    <w:pPr>
      <w:numPr>
        <w:ilvl w:val="0"/>
        <w:numId w:val="6"/>
      </w:numPr>
    </w:pPr>
  </w:style>
  <w:style w:type="paragraph" w:styleId="58">
    <w:name w:val="List Bullet 5"/>
    <w:basedOn w:val="0"/>
    <w:pPr>
      <w:numPr>
        <w:ilvl w:val="0"/>
        <w:numId w:val="7"/>
      </w:numPr>
    </w:pPr>
  </w:style>
  <w:style w:type="paragraph" w:styleId="59">
    <w:name w:val="List Number 2"/>
    <w:basedOn w:val="0"/>
    <w:pPr>
      <w:numPr>
        <w:ilvl w:val="0"/>
        <w:numId w:val="8"/>
      </w:numPr>
    </w:pPr>
  </w:style>
  <w:style w:type="paragraph" w:styleId="60">
    <w:name w:val="List Number 3"/>
    <w:basedOn w:val="0"/>
    <w:pPr>
      <w:numPr>
        <w:ilvl w:val="0"/>
        <w:numId w:val="9"/>
      </w:numPr>
    </w:pPr>
  </w:style>
  <w:style w:type="paragraph" w:styleId="61">
    <w:name w:val="List Number 4"/>
    <w:basedOn w:val="0"/>
    <w:pPr>
      <w:numPr>
        <w:ilvl w:val="0"/>
        <w:numId w:val="10"/>
      </w:numPr>
    </w:pPr>
  </w:style>
  <w:style w:type="paragraph" w:styleId="62">
    <w:name w:val="List Number 5"/>
    <w:basedOn w:val="0"/>
    <w:pPr>
      <w:numPr>
        <w:ilvl w:val="0"/>
        <w:numId w:val="11"/>
      </w:numPr>
    </w:pPr>
  </w:style>
  <w:style w:type="paragraph" w:styleId="63">
    <w:name w:val="Title"/>
    <w:basedOn w:val="0"/>
    <w:pPr>
      <w:spacing w:before="240" w:after="60"/>
      <w:jc w:val="center"/>
      <w:outlineLvl w:val="0"/>
    </w:pPr>
    <w:rPr>
      <w:rFonts w:ascii="Arial" w:hAnsi="Arial"/>
      <w:b/>
      <w:sz w:val="32"/>
    </w:rPr>
  </w:style>
  <w:style w:type="paragraph" w:styleId="64">
    <w:name w:val="Closing"/>
    <w:basedOn w:val="0"/>
    <w:pPr>
      <w:ind w:left="4320"/>
    </w:pPr>
  </w:style>
  <w:style w:type="paragraph" w:styleId="65">
    <w:name w:val="Signature"/>
    <w:basedOn w:val="0"/>
    <w:pPr>
      <w:ind w:left="4320"/>
    </w:pPr>
  </w:style>
  <w:style w:type="paragraph" w:styleId="66">
    <w:name w:val="Body Text"/>
    <w:basedOn w:val="0"/>
    <w:pPr>
      <w:spacing w:after="120"/>
    </w:pPr>
  </w:style>
  <w:style w:type="paragraph" w:styleId="67">
    <w:name w:val="Body Text Indent"/>
    <w:basedOn w:val="0"/>
    <w:pPr>
      <w:spacing w:after="120"/>
      <w:ind w:left="420"/>
    </w:pPr>
  </w:style>
  <w:style w:type="paragraph" w:styleId="68">
    <w:name w:val="List Continue"/>
    <w:basedOn w:val="0"/>
    <w:pPr>
      <w:spacing w:after="120"/>
      <w:ind w:left="420"/>
    </w:pPr>
  </w:style>
  <w:style w:type="paragraph" w:styleId="69">
    <w:name w:val="List Continue 2"/>
    <w:basedOn w:val="0"/>
    <w:pPr>
      <w:spacing w:after="120"/>
      <w:ind w:left="840"/>
    </w:pPr>
  </w:style>
  <w:style w:type="paragraph" w:styleId="70">
    <w:name w:val="List Continue 3"/>
    <w:basedOn w:val="0"/>
    <w:pPr>
      <w:spacing w:after="120"/>
      <w:ind w:left="1260"/>
    </w:pPr>
  </w:style>
  <w:style w:type="paragraph" w:styleId="71">
    <w:name w:val="List Continue 4"/>
    <w:basedOn w:val="0"/>
    <w:pPr>
      <w:spacing w:after="120"/>
      <w:ind w:left="1680"/>
    </w:pPr>
  </w:style>
  <w:style w:type="paragraph" w:styleId="72">
    <w:name w:val="List Continue 5"/>
    <w:basedOn w:val="0"/>
    <w:pPr>
      <w:spacing w:after="120"/>
      <w:ind w:left="2100"/>
    </w:pPr>
  </w:style>
  <w:style w:type="paragraph" w:styleId="73">
    <w:name w:val="Message Header"/>
    <w:basedOn w:val="0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12" w:color="auto" w:fill="auto"/>
      <w:ind w:leftChars="500" w:left="1000" w:hangingChars="500" w:hanging="500"/>
    </w:pPr>
    <w:rPr>
      <w:rFonts w:ascii="Arial" w:hAnsi="Arial"/>
      <w:sz w:val="24"/>
    </w:rPr>
  </w:style>
  <w:style w:type="paragraph" w:styleId="74">
    <w:name w:val="Subtitle"/>
    <w:basedOn w:val="0"/>
    <w:pPr>
      <w:spacing w:before="240" w:after="60" w:line="312" w:lineRule="auto"/>
      <w:jc w:val="center"/>
      <w:outlineLvl w:val="1"/>
    </w:pPr>
    <w:rPr>
      <w:rFonts w:ascii="Arial" w:hAnsi="Arial"/>
      <w:b/>
      <w:kern w:val="28"/>
      <w:sz w:val="32"/>
    </w:rPr>
  </w:style>
  <w:style w:type="paragraph" w:styleId="75">
    <w:name w:val="Salutation"/>
    <w:basedOn w:val="0"/>
    <w:next w:val="0"/>
  </w:style>
  <w:style w:type="paragraph" w:styleId="76">
    <w:name w:val="Date"/>
    <w:basedOn w:val="0"/>
    <w:next w:val="0"/>
    <w:pPr>
      <w:ind w:leftChars="2500" w:left="2500"/>
    </w:pPr>
  </w:style>
  <w:style w:type="paragraph" w:styleId="77">
    <w:name w:val="Body Text First Indent"/>
    <w:basedOn w:val="66"/>
    <w:pPr>
      <w:ind w:firstLine="420"/>
    </w:pPr>
  </w:style>
  <w:style w:type="paragraph" w:styleId="78">
    <w:name w:val="Body Text First Indent 2"/>
    <w:basedOn w:val="67"/>
    <w:pPr>
      <w:ind w:firstLine="420"/>
    </w:pPr>
  </w:style>
  <w:style w:type="paragraph" w:styleId="79">
    <w:name w:val="Note Heading"/>
    <w:basedOn w:val="0"/>
    <w:next w:val="0"/>
    <w:pPr>
      <w:jc w:val="center"/>
    </w:pPr>
  </w:style>
  <w:style w:type="paragraph" w:styleId="80">
    <w:name w:val="Body Text 2"/>
    <w:basedOn w:val="0"/>
    <w:pPr>
      <w:spacing w:after="120" w:line="480" w:lineRule="auto"/>
    </w:pPr>
  </w:style>
  <w:style w:type="paragraph" w:styleId="81">
    <w:name w:val="Body Text 3"/>
    <w:basedOn w:val="0"/>
    <w:pPr>
      <w:spacing w:after="120"/>
    </w:pPr>
    <w:rPr>
      <w:sz w:val="16"/>
    </w:rPr>
  </w:style>
  <w:style w:type="paragraph" w:styleId="82">
    <w:name w:val="Body Text Indent 2"/>
    <w:basedOn w:val="0"/>
    <w:pPr>
      <w:spacing w:after="120" w:line="480" w:lineRule="auto"/>
      <w:ind w:left="420"/>
    </w:pPr>
  </w:style>
  <w:style w:type="paragraph" w:styleId="83">
    <w:name w:val="Body Text Indent 3"/>
    <w:basedOn w:val="0"/>
    <w:pPr>
      <w:spacing w:after="120"/>
      <w:ind w:left="420"/>
    </w:pPr>
    <w:rPr>
      <w:sz w:val="16"/>
    </w:rPr>
  </w:style>
  <w:style w:type="paragraph" w:styleId="84">
    <w:name w:val="Block Text"/>
    <w:basedOn w:val="0"/>
    <w:pPr>
      <w:spacing w:after="120"/>
      <w:ind w:left="140" w:rightChars="700" w:right="700"/>
    </w:pPr>
  </w:style>
  <w:style w:type="character" w:styleId="85">
    <w:name w:val="Hyperlink"/>
    <w:basedOn w:val="10"/>
    <w:rPr>
      <w:color w:val="0000FF"/>
      <w:u w:val="single"/>
    </w:rPr>
  </w:style>
  <w:style w:type="character" w:styleId="86">
    <w:name w:val="FollowedHyperlink"/>
    <w:basedOn w:val="10"/>
    <w:rPr>
      <w:color w:val="800080"/>
      <w:u w:val="single"/>
    </w:rPr>
  </w:style>
  <w:style w:type="character" w:styleId="87">
    <w:name w:val="Strong"/>
    <w:basedOn w:val="10"/>
    <w:rPr>
      <w:b/>
    </w:rPr>
  </w:style>
  <w:style w:type="character" w:styleId="88">
    <w:name w:val="Emphasis"/>
    <w:basedOn w:val="10"/>
    <w:rPr>
      <w:i/>
    </w:rPr>
  </w:style>
  <w:style w:type="paragraph" w:styleId="89">
    <w:name w:val="Document Map"/>
    <w:basedOn w:val="0"/>
    <w:pPr>
      <w:shd w:val="clear" w:color="auto" w:fill="000080"/>
    </w:pPr>
  </w:style>
  <w:style w:type="paragraph" w:styleId="90">
    <w:name w:val="Plain Text"/>
    <w:basedOn w:val="0"/>
    <w:rPr>
      <w:rFonts w:ascii="Courier New" w:eastAsia="宋体" w:hAnsi="Courier New"/>
    </w:rPr>
  </w:style>
  <w:style w:type="paragraph" w:styleId="91">
    <w:name w:val="E-mail Signature"/>
    <w:basedOn w:val="0"/>
  </w:style>
  <w:style w:type="paragraph" w:styleId="92">
    <w:name w:val="Normal (Web)"/>
    <w:next w:val="29"/>
    <w:pPr>
      <w:widowControl w:val="0"/>
      <w:spacing w:beforeAutospacing="1" w:afterAutospacing="1"/>
      <w:jc w:val="left"/>
    </w:pPr>
    <w:rPr>
      <w:rFonts w:ascii="Times New Roman" w:eastAsia="宋体" w:cs="Times New Roman" w:hAnsi="Times New Roman"/>
      <w:kern w:val="0"/>
      <w:sz w:val="24"/>
      <w:szCs w:val="30"/>
      <w:lang w:val="en-US" w:eastAsia="zh-CN" w:bidi="ar-SA"/>
    </w:rPr>
  </w:style>
  <w:style w:type="character" w:styleId="93">
    <w:name w:val="HTML Acronym"/>
    <w:basedOn w:val="10"/>
  </w:style>
  <w:style w:type="paragraph" w:styleId="94">
    <w:name w:val="HTML Address"/>
    <w:basedOn w:val="0"/>
    <w:rPr>
      <w:i/>
    </w:rPr>
  </w:style>
  <w:style w:type="character" w:styleId="95">
    <w:name w:val="HTML Cite"/>
    <w:basedOn w:val="10"/>
    <w:rPr>
      <w:i/>
    </w:rPr>
  </w:style>
  <w:style w:type="character" w:styleId="96">
    <w:name w:val="HTML Code"/>
    <w:basedOn w:val="10"/>
    <w:rPr>
      <w:rFonts w:ascii="Courier New" w:hAnsi="Courier New"/>
      <w:sz w:val="20"/>
    </w:rPr>
  </w:style>
  <w:style w:type="character" w:styleId="97">
    <w:name w:val="HTML Definition"/>
    <w:basedOn w:val="10"/>
    <w:rPr>
      <w:i/>
    </w:rPr>
  </w:style>
  <w:style w:type="character" w:styleId="98">
    <w:name w:val="HTML Keyboard"/>
    <w:basedOn w:val="10"/>
    <w:rPr>
      <w:rFonts w:ascii="Courier New" w:hAnsi="Courier New"/>
      <w:sz w:val="20"/>
    </w:rPr>
  </w:style>
  <w:style w:type="paragraph" w:styleId="99">
    <w:name w:val="HTML Preformatted"/>
    <w:basedOn w:val="0"/>
    <w:rPr>
      <w:rFonts w:ascii="Courier New" w:hAnsi="Courier New"/>
      <w:sz w:val="20"/>
    </w:rPr>
  </w:style>
  <w:style w:type="character" w:styleId="100">
    <w:name w:val="HTML Sample"/>
    <w:basedOn w:val="10"/>
    <w:rPr>
      <w:rFonts w:ascii="Courier New" w:hAnsi="Courier New"/>
    </w:rPr>
  </w:style>
  <w:style w:type="character" w:styleId="101">
    <w:name w:val="HTML Typewriter"/>
    <w:basedOn w:val="10"/>
    <w:rPr>
      <w:rFonts w:ascii="Courier New" w:hAnsi="Courier New"/>
      <w:sz w:val="20"/>
    </w:rPr>
  </w:style>
  <w:style w:type="character" w:styleId="102">
    <w:name w:val="HTML Variable"/>
    <w:basedOn w:val="10"/>
    <w:rPr>
      <w:i/>
    </w:rPr>
  </w:style>
  <w:style w:type="paragraph" w:styleId="103">
    <w:name w:val="annotation subject"/>
    <w:basedOn w:val="31"/>
    <w:next w:val="31"/>
    <w:rPr>
      <w:b/>
    </w:rPr>
  </w:style>
  <w:style w:type="paragraph" w:styleId="104">
    <w:name w:val="Balloon Text"/>
    <w:basedOn w:val="0"/>
    <w:next w:val="0"/>
    <w:rPr>
      <w:sz w:val="18"/>
    </w:rPr>
  </w:style>
  <w:style w:type="paragraph" w:customStyle="1" w:styleId="105">
    <w:name w:val="正文文字"/>
    <w:basedOn w:val="0"/>
    <w:next w:val="0"/>
    <w:pPr>
      <w:spacing w:after="120"/>
    </w:pPr>
  </w:style>
  <w:style w:type="paragraph" w:customStyle="1" w:styleId="106">
    <w:name w:val="正文文字 1"/>
    <w:basedOn w:val="0"/>
    <w:autoRedefine/>
    <w:next w:val="0"/>
    <w:pPr>
      <w:ind w:left="240"/>
    </w:pPr>
    <w:rPr>
      <w:sz w:val="28"/>
    </w:rPr>
  </w:style>
  <w:style w:type="paragraph" w:customStyle="1" w:styleId="107">
    <w:name w:val="正文文字 2"/>
    <w:basedOn w:val="0"/>
    <w:autoRedefine/>
    <w:next w:val="0"/>
    <w:pPr>
      <w:ind w:left="240"/>
    </w:pPr>
    <w:rPr>
      <w:rFonts w:ascii="Arial" w:hAnsi="Arial"/>
      <w:sz w:val="28"/>
    </w:rPr>
  </w:style>
  <w:style w:type="paragraph" w:customStyle="1" w:styleId="108">
    <w:name w:val="正文文字 3"/>
    <w:basedOn w:val="0"/>
    <w:autoRedefine/>
    <w:next w:val="0"/>
    <w:pPr>
      <w:ind w:left="240"/>
    </w:pPr>
    <w:rPr>
      <w:sz w:val="28"/>
    </w:rPr>
  </w:style>
  <w:style w:type="paragraph" w:customStyle="1" w:styleId="109">
    <w:name w:val="正文文字 4"/>
    <w:basedOn w:val="0"/>
    <w:autoRedefine/>
    <w:next w:val="0"/>
    <w:pPr>
      <w:ind w:left="240"/>
    </w:pPr>
    <w:rPr>
      <w:sz w:val="24"/>
    </w:rPr>
  </w:style>
  <w:style w:type="paragraph" w:customStyle="1" w:styleId="110">
    <w:name w:val="正文文字 5"/>
    <w:basedOn w:val="0"/>
    <w:autoRedefine/>
    <w:next w:val="0"/>
    <w:pPr>
      <w:ind w:left="240"/>
    </w:pPr>
    <w:rPr>
      <w:sz w:val="24"/>
    </w:rPr>
  </w:style>
  <w:style w:type="paragraph" w:customStyle="1" w:styleId="111">
    <w:name w:val="正文文字 6"/>
    <w:basedOn w:val="0"/>
    <w:autoRedefine/>
    <w:next w:val="0"/>
    <w:pPr>
      <w:ind w:left="240"/>
    </w:pPr>
    <w:rPr>
      <w:sz w:val="20"/>
    </w:rPr>
  </w:style>
  <w:style w:type="paragraph" w:customStyle="1" w:styleId="112">
    <w:name w:val="正文文字 7"/>
    <w:basedOn w:val="0"/>
    <w:autoRedefine/>
    <w:next w:val="0"/>
    <w:pPr>
      <w:ind w:left="240"/>
    </w:pPr>
    <w:rPr>
      <w:sz w:val="20"/>
    </w:rPr>
  </w:style>
  <w:style w:type="paragraph" w:customStyle="1" w:styleId="113">
    <w:name w:val="正文文字 8"/>
    <w:basedOn w:val="0"/>
    <w:autoRedefine/>
    <w:next w:val="0"/>
    <w:pPr>
      <w:ind w:left="240"/>
    </w:pPr>
    <w:rPr>
      <w:sz w:val="16"/>
    </w:rPr>
  </w:style>
  <w:style w:type="paragraph" w:customStyle="1" w:styleId="114">
    <w:name w:val="正文文字 9"/>
    <w:basedOn w:val="0"/>
    <w:autoRedefine/>
    <w:next w:val="0"/>
    <w:pPr>
      <w:ind w:left="240"/>
    </w:pPr>
    <w:rPr>
      <w:sz w:val="16"/>
    </w:rPr>
  </w:style>
  <w:style w:type="paragraph" w:customStyle="1" w:styleId="115">
    <w:name w:val="公式样式 文本"/>
    <w:autoRedefine/>
    <w:rPr>
      <w:rFonts w:ascii="Times New Roman" w:eastAsia="宋体" w:hAnsi="Times New Roman"/>
      <w:b w:val="0"/>
      <w:i w:val="0"/>
    </w:rPr>
  </w:style>
  <w:style w:type="paragraph" w:customStyle="1" w:styleId="116">
    <w:name w:val="公式样式 函数"/>
    <w:autoRedefine/>
    <w:rPr>
      <w:rFonts w:ascii="Times New Roman" w:eastAsia="宋体" w:hAnsi="Times New Roman"/>
      <w:b w:val="0"/>
      <w:i w:val="0"/>
    </w:rPr>
  </w:style>
  <w:style w:type="paragraph" w:customStyle="1" w:styleId="117">
    <w:name w:val="公式样式 变量"/>
    <w:autoRedefine/>
    <w:rPr>
      <w:rFonts w:ascii="Times New Roman" w:eastAsia="宋体" w:hAnsi="Times New Roman"/>
      <w:b w:val="0"/>
      <w:i/>
    </w:rPr>
  </w:style>
  <w:style w:type="paragraph" w:customStyle="1" w:styleId="118">
    <w:name w:val="公式样式 小写希腊字母"/>
    <w:autoRedefine/>
    <w:rPr>
      <w:rFonts w:ascii="Times New Roman" w:eastAsia="宋体" w:hAnsi="Times New Roman"/>
      <w:b w:val="0"/>
      <w:i/>
    </w:rPr>
  </w:style>
  <w:style w:type="paragraph" w:customStyle="1" w:styleId="120">
    <w:name w:val="公式样式 符号"/>
    <w:autoRedefine/>
    <w:rPr>
      <w:rFonts w:ascii="Times New Roman" w:eastAsia="宋体" w:hAnsi="Times New Roman"/>
      <w:b w:val="0"/>
      <w:i w:val="0"/>
    </w:rPr>
  </w:style>
  <w:style w:type="paragraph" w:customStyle="1" w:styleId="121">
    <w:name w:val="公式样式 矢量矩阵"/>
    <w:autoRedefine/>
    <w:rPr>
      <w:rFonts w:ascii="Times New Roman" w:eastAsia="宋体" w:hAnsi="Times New Roman"/>
      <w:b/>
      <w:i w:val="0"/>
    </w:rPr>
  </w:style>
  <w:style w:type="paragraph" w:customStyle="1" w:styleId="122">
    <w:name w:val="公式样式 数字"/>
    <w:autoRedefine/>
    <w:rPr>
      <w:rFonts w:ascii="Times New Roman" w:eastAsia="宋体" w:hAnsi="Times New Roman"/>
      <w:b w:val="0"/>
      <w:i w:val="0"/>
    </w:rPr>
  </w:style>
  <w:style w:type="paragraph" w:customStyle="1" w:styleId="123">
    <w:name w:val="样式 1 三号"/>
    <w:next w:val="117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560" w:lineRule="exact"/>
      <w:ind w:left="0" w:right="0" w:firstLine="0"/>
      <w:jc w:val="both"/>
      <w:textAlignment w:val="auto"/>
      <w:outlineLvl w:val="9"/>
    </w:pPr>
    <w:rPr>
      <w:rFonts w:ascii="Times New Roman" w:eastAsia="方正仿宋_GBK" w:cs="Times New Roman" w:hAnsi="Times New Roman"/>
      <w:snapToGrid/>
      <w:color w:val="auto"/>
      <w:spacing w:val="-4"/>
      <w:w w:val="100"/>
      <w:kern w:val="2"/>
      <w:position w:val="0"/>
      <w:sz w:val="32"/>
      <w:szCs w:val="28"/>
      <w:u w:val="none" w:color="auto"/>
      <w:bdr w:val="none" w:sz="0" w:space="0" w:color="auto"/>
      <w:vertAlign w:val="baseline"/>
      <w:em w:val="none"/>
      <w:lang w:val="en-US" w:eastAsia="zh-CN" w:bidi="ar-SA"/>
    </w:rPr>
  </w:style>
  <w:style w:type="paragraph" w:customStyle="1" w:styleId="124">
    <w:name w:val="样式 小四"/>
    <w:next w:val="329"/>
    <w:pPr>
      <w:widowControl w:val="0"/>
      <w:spacing w:beforeAutospacing="1" w:afterAutospacing="1"/>
      <w:jc w:val="left"/>
    </w:pPr>
    <w:rPr>
      <w:rFonts w:ascii="Times New Roman" w:eastAsia="宋体" w:cs="Times New Roman" w:hAnsi="Times New Roman"/>
      <w:kern w:val="0"/>
      <w:sz w:val="24"/>
      <w:szCs w:val="30"/>
      <w:lang w:val="en-US" w:eastAsia="zh-CN" w:bidi="ar-SA"/>
    </w:rPr>
  </w:style>
  <w:style w:type="paragraph" w:customStyle="1" w:styleId="125">
    <w:name w:val="样式 2 小四"/>
    <w:next w:val="334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jc w:val="left"/>
      <w:textAlignment w:val="auto"/>
      <w:outlineLvl w:val="9"/>
    </w:pPr>
    <w:rPr>
      <w:rFonts w:ascii="宋体" w:eastAsia="宋体" w:cs="Times New Roman"/>
      <w:snapToGrid/>
      <w:color w:val="auto"/>
      <w:spacing w:val="0"/>
      <w:w w:val="100"/>
      <w:kern w:val="2"/>
      <w:position w:val="0"/>
      <w:sz w:val="24"/>
      <w:szCs w:val="20"/>
      <w:u w:val="none" w:color="auto"/>
      <w:bdr w:val="none" w:sz="0" w:space="0" w:color="auto"/>
      <w:vertAlign w:val="baseline"/>
      <w:em w:val="none"/>
      <w:lang w:val="en-US" w:eastAsia="zh-CN" w:bidi="ar-SA"/>
    </w:rPr>
  </w:style>
  <w:style w:type="paragraph" w:customStyle="1" w:styleId="126">
    <w:name w:val="样式 1 小四"/>
    <w:next w:val="23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jc w:val="left"/>
      <w:textAlignment w:val="auto"/>
      <w:outlineLvl w:val="9"/>
    </w:pPr>
    <w:rPr>
      <w:rFonts w:ascii="宋体" w:eastAsia="宋体" w:cs="Times New Roman"/>
      <w:snapToGrid/>
      <w:color w:val="auto"/>
      <w:spacing w:val="0"/>
      <w:w w:val="100"/>
      <w:kern w:val="2"/>
      <w:position w:val="0"/>
      <w:sz w:val="24"/>
      <w:szCs w:val="20"/>
      <w:u w:val="none" w:color="auto"/>
      <w:bdr w:val="none" w:sz="0" w:space="0" w:color="auto"/>
      <w:vertAlign w:val="baseline"/>
      <w:em w:val="none"/>
      <w:lang w:val="en-US" w:eastAsia="zh-CN" w:bidi="ar-SA"/>
    </w:rPr>
  </w:style>
  <w:style w:type="paragraph" w:customStyle="1" w:styleId="127">
    <w:name w:val="样式 4 小四"/>
    <w:next w:val="20"/>
    <w:pPr>
      <w:widowControl w:val="0"/>
      <w:spacing w:beforeAutospacing="1" w:afterAutospacing="1"/>
    </w:pPr>
    <w:rPr>
      <w:rFonts w:ascii="Times New Roman" w:eastAsia="宋体" w:cs="Times New Roman" w:hAnsi="Times New Roman"/>
      <w:sz w:val="24"/>
      <w:szCs w:val="30"/>
      <w:lang w:val="en-US" w:eastAsia="zh-CN" w:bidi="ar-SA"/>
    </w:rPr>
  </w:style>
  <w:style w:type="paragraph" w:customStyle="1" w:styleId="128">
    <w:name w:val="样式 50 三号"/>
    <w:next w:val="21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szCs w:val="20"/>
      <w:lang w:val="en-US" w:eastAsia="zh-CN" w:bidi="ar-SA"/>
    </w:rPr>
  </w:style>
  <w:style w:type="paragraph" w:customStyle="1" w:styleId="129">
    <w:name w:val="样式 小三"/>
    <w:next w:val="18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30">
    <w:name w:val="样式 21 小三"/>
    <w:next w:val="26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31">
    <w:name w:val="样式 22 小三"/>
    <w:next w:val="32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32">
    <w:name w:val="样式 23 小三"/>
    <w:next w:val="38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33">
    <w:name w:val="样式 24 小三"/>
    <w:next w:val="43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34">
    <w:name w:val="样式 25 小三"/>
    <w:next w:val="48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35">
    <w:name w:val="样式 26 小三"/>
    <w:next w:val="53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36">
    <w:name w:val="样式 5 小三"/>
    <w:next w:val="22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37">
    <w:name w:val="样式 16 小三"/>
    <w:next w:val="16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38">
    <w:name w:val="样式 8 小三"/>
    <w:next w:val="15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39">
    <w:name w:val="样式 17 小三"/>
    <w:next w:val="17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40">
    <w:name w:val="样式 12 小三"/>
    <w:next w:val="19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41">
    <w:name w:val="样式 小五"/>
    <w:next w:val="58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eastAsia="方正仿宋_GBK" w:cs="Times New Roman" w:hAnsi="Times New Roman"/>
      <w:kern w:val="2"/>
      <w:sz w:val="18"/>
      <w:szCs w:val="18"/>
      <w:lang w:val="en-US" w:eastAsia="zh-CN" w:bidi="ar-SA"/>
    </w:rPr>
  </w:style>
  <w:style w:type="paragraph" w:customStyle="1" w:styleId="142">
    <w:name w:val="样式 27 小三"/>
    <w:next w:val="59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43">
    <w:name w:val="样式 28 小三"/>
    <w:next w:val="64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44">
    <w:name w:val="样式 29 小三"/>
    <w:next w:val="69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45">
    <w:name w:val="样式 30 小三"/>
    <w:next w:val="74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46">
    <w:name w:val="样式 31 小三"/>
    <w:next w:val="79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47">
    <w:name w:val="样式 32 小三"/>
    <w:next w:val="84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48">
    <w:name w:val="样式 33 小三"/>
    <w:next w:val="89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49">
    <w:name w:val="样式 34 小三"/>
    <w:next w:val="94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50">
    <w:name w:val="样式 35 小三"/>
    <w:next w:val="99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51">
    <w:name w:val="样式 36 小三"/>
    <w:next w:val="104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52">
    <w:name w:val="样式 37 小三"/>
    <w:next w:val="109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53">
    <w:name w:val="样式 38 小三"/>
    <w:next w:val="114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54">
    <w:name w:val="样式 39 小三"/>
    <w:next w:val="120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55">
    <w:name w:val="样式 40 小三"/>
    <w:next w:val="126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56">
    <w:name w:val="样式 41 小三"/>
    <w:next w:val="132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57">
    <w:name w:val="样式 42 小三"/>
    <w:next w:val="138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58">
    <w:name w:val="样式 43 小三"/>
    <w:next w:val="144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59">
    <w:name w:val="样式 44 小三"/>
    <w:next w:val="150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60">
    <w:name w:val="样式 45 小三"/>
    <w:next w:val="156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61">
    <w:name w:val="样式 46 小三"/>
    <w:next w:val="162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62">
    <w:name w:val="样式 47 小三"/>
    <w:next w:val="168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63">
    <w:name w:val="样式 48 小三"/>
    <w:next w:val="174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64">
    <w:name w:val="样式 49 小三"/>
    <w:next w:val="180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65">
    <w:name w:val="样式 50 小三"/>
    <w:next w:val="186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66">
    <w:name w:val="样式 51 小三"/>
    <w:next w:val="192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67">
    <w:name w:val="样式 52 小三"/>
    <w:next w:val="198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68">
    <w:name w:val="样式 53 小三"/>
    <w:next w:val="204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69">
    <w:name w:val="样式 54 小三"/>
    <w:next w:val="27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70">
    <w:name w:val="样式 55 小三"/>
    <w:next w:val="33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71">
    <w:name w:val="样式 56 小三"/>
    <w:next w:val="39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72">
    <w:name w:val="样式 57 小三"/>
    <w:next w:val="44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73">
    <w:name w:val="样式 58 小三"/>
    <w:next w:val="49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74">
    <w:name w:val="样式 59 小三"/>
    <w:next w:val="54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75">
    <w:name w:val="样式 60 小三"/>
    <w:next w:val="60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76">
    <w:name w:val="样式 61 小三"/>
    <w:next w:val="65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77">
    <w:name w:val="样式 62 小三"/>
    <w:next w:val="70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78">
    <w:name w:val="样式 63 小三"/>
    <w:next w:val="75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79">
    <w:name w:val="样式 64 小三"/>
    <w:next w:val="80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80">
    <w:name w:val="样式 65 小三"/>
    <w:next w:val="85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81">
    <w:name w:val="样式 66 小三"/>
    <w:next w:val="90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82">
    <w:name w:val="样式 67 小三"/>
    <w:next w:val="95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83">
    <w:name w:val="样式 68 小三"/>
    <w:next w:val="100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84">
    <w:name w:val="样式 69 小三"/>
    <w:next w:val="105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85">
    <w:name w:val="样式 70 小三"/>
    <w:next w:val="110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86">
    <w:name w:val="样式 71 小三"/>
    <w:next w:val="115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87">
    <w:name w:val="样式 72 小三"/>
    <w:next w:val="121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88">
    <w:name w:val="样式 73 小三"/>
    <w:next w:val="127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89">
    <w:name w:val="样式 74 小三"/>
    <w:next w:val="133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90">
    <w:name w:val="样式 75 小三"/>
    <w:next w:val="139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91">
    <w:name w:val="样式 76 小三"/>
    <w:next w:val="145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92">
    <w:name w:val="样式 77 小三"/>
    <w:next w:val="151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93">
    <w:name w:val="样式 78 小三"/>
    <w:next w:val="157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94">
    <w:name w:val="样式 79 小三"/>
    <w:next w:val="163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95">
    <w:name w:val="样式 80 小三"/>
    <w:next w:val="169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96">
    <w:name w:val="样式 81 小三"/>
    <w:next w:val="175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97">
    <w:name w:val="样式 82 小三"/>
    <w:next w:val="181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98">
    <w:name w:val="样式 83 小三"/>
    <w:next w:val="187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199">
    <w:name w:val="样式 84 小三"/>
    <w:next w:val="193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00">
    <w:name w:val="样式 85 小三"/>
    <w:next w:val="199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01">
    <w:name w:val="样式 86 小三"/>
    <w:next w:val="205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02">
    <w:name w:val="样式 87 小三"/>
    <w:next w:val="28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03">
    <w:name w:val="样式 88 小三"/>
    <w:next w:val="34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04">
    <w:name w:val="样式 89 小三"/>
    <w:next w:val="40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05">
    <w:name w:val="样式 90 小三"/>
    <w:next w:val="45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06">
    <w:name w:val="样式 91 小三"/>
    <w:next w:val="50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07">
    <w:name w:val="样式 92 小三"/>
    <w:next w:val="55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08">
    <w:name w:val="样式 93 小三"/>
    <w:next w:val="61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09">
    <w:name w:val="样式 94 小三"/>
    <w:next w:val="66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10">
    <w:name w:val="样式 95 小三"/>
    <w:next w:val="71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11">
    <w:name w:val="样式 96 小三"/>
    <w:next w:val="76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12">
    <w:name w:val="样式 97 小三"/>
    <w:next w:val="81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13">
    <w:name w:val="样式 98 小三"/>
    <w:next w:val="86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14">
    <w:name w:val="样式 99 小三"/>
    <w:next w:val="91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15">
    <w:name w:val="样式 100 小三"/>
    <w:next w:val="96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16">
    <w:name w:val="样式 101 小三"/>
    <w:next w:val="101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17">
    <w:name w:val="样式 102 小三"/>
    <w:next w:val="106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18">
    <w:name w:val="样式 103 小三"/>
    <w:next w:val="111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19">
    <w:name w:val="样式 104 小三"/>
    <w:next w:val="116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20">
    <w:name w:val="样式 105 小三"/>
    <w:next w:val="122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21">
    <w:name w:val="样式 106 小三"/>
    <w:next w:val="128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22">
    <w:name w:val="样式 107 小三"/>
    <w:next w:val="134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23">
    <w:name w:val="样式 108 小三"/>
    <w:next w:val="140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24">
    <w:name w:val="样式 109 小三"/>
    <w:next w:val="146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25">
    <w:name w:val="样式 110 小三"/>
    <w:next w:val="152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26">
    <w:name w:val="样式 111 小三"/>
    <w:next w:val="158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27">
    <w:name w:val="样式 112 小三"/>
    <w:next w:val="164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28">
    <w:name w:val="样式 113 小三"/>
    <w:next w:val="170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29">
    <w:name w:val="样式 114 小三"/>
    <w:next w:val="176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30">
    <w:name w:val="样式 115 小三"/>
    <w:next w:val="182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31">
    <w:name w:val="样式 116 小三"/>
    <w:next w:val="188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32">
    <w:name w:val="样式 117 小三"/>
    <w:next w:val="194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33">
    <w:name w:val="样式 118 小三"/>
    <w:next w:val="200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34">
    <w:name w:val="样式 119 小三"/>
    <w:next w:val="206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35">
    <w:name w:val="样式 120 小三"/>
    <w:next w:val="29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36">
    <w:name w:val="样式 121 小三"/>
    <w:next w:val="35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37">
    <w:name w:val="样式 122 小三"/>
    <w:next w:val="41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38">
    <w:name w:val="样式 123 小三"/>
    <w:next w:val="46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39">
    <w:name w:val="样式 124 小三"/>
    <w:next w:val="51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40">
    <w:name w:val="样式 125 小三"/>
    <w:next w:val="56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41">
    <w:name w:val="样式 126 小三"/>
    <w:next w:val="62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42">
    <w:name w:val="样式 127 小三"/>
    <w:next w:val="67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43">
    <w:name w:val="样式 128 小三"/>
    <w:next w:val="72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44">
    <w:name w:val="样式 129 小三"/>
    <w:next w:val="77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45">
    <w:name w:val="样式 130 小三"/>
    <w:next w:val="82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46">
    <w:name w:val="样式 131 小三"/>
    <w:next w:val="87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47">
    <w:name w:val="样式 132 小三"/>
    <w:next w:val="92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48">
    <w:name w:val="样式 133 小三"/>
    <w:next w:val="97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49">
    <w:name w:val="样式 134 小三"/>
    <w:next w:val="102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50">
    <w:name w:val="样式 135 小三"/>
    <w:next w:val="107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51">
    <w:name w:val="样式 136 小三"/>
    <w:next w:val="112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52">
    <w:name w:val="样式 137 小三"/>
    <w:next w:val="117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53">
    <w:name w:val="样式 138 小三"/>
    <w:next w:val="123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54">
    <w:name w:val="样式 139 小三"/>
    <w:next w:val="129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55">
    <w:name w:val="样式 140 小三"/>
    <w:next w:val="135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56">
    <w:name w:val="样式 141 小三"/>
    <w:next w:val="141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57">
    <w:name w:val="样式 142 小三"/>
    <w:next w:val="147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58">
    <w:name w:val="样式 143 小三"/>
    <w:next w:val="153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59">
    <w:name w:val="样式 144 小三"/>
    <w:next w:val="159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60">
    <w:name w:val="样式 145 小三"/>
    <w:next w:val="165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61">
    <w:name w:val="样式 146 小三"/>
    <w:next w:val="171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62">
    <w:name w:val="样式 147 小三"/>
    <w:next w:val="177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63">
    <w:name w:val="样式 148 小三"/>
    <w:next w:val="183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64">
    <w:name w:val="样式 149 小三"/>
    <w:next w:val="189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65">
    <w:name w:val="样式 150 小三"/>
    <w:next w:val="195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66">
    <w:name w:val="样式 151 小三"/>
    <w:next w:val="201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67">
    <w:name w:val="样式 152 小三"/>
    <w:next w:val="207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68">
    <w:name w:val="样式 153 小三"/>
    <w:next w:val="30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69">
    <w:name w:val="样式 154 小三"/>
    <w:next w:val="36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70">
    <w:name w:val="样式 155 小三"/>
    <w:next w:val="42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71">
    <w:name w:val="样式 156 小三"/>
    <w:next w:val="47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72">
    <w:name w:val="样式 157 小三"/>
    <w:next w:val="52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73">
    <w:name w:val="样式 158 小三"/>
    <w:next w:val="57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74">
    <w:name w:val="样式 159 小三"/>
    <w:next w:val="63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75">
    <w:name w:val="样式 160 小三"/>
    <w:next w:val="68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76">
    <w:name w:val="样式 161 小三"/>
    <w:next w:val="73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77">
    <w:name w:val="样式 162 小三"/>
    <w:next w:val="78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78">
    <w:name w:val="样式 163 小三"/>
    <w:next w:val="83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79">
    <w:name w:val="样式 164 小三"/>
    <w:next w:val="88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80">
    <w:name w:val="样式 165 小三"/>
    <w:next w:val="93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81">
    <w:name w:val="样式 166 小三"/>
    <w:next w:val="98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82">
    <w:name w:val="样式 167 小三"/>
    <w:next w:val="103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83">
    <w:name w:val="样式 168 小三"/>
    <w:next w:val="108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84">
    <w:name w:val="样式 169 小三"/>
    <w:next w:val="113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85">
    <w:name w:val="样式 170 小三"/>
    <w:next w:val="118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86">
    <w:name w:val="样式 171 小三"/>
    <w:next w:val="124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87">
    <w:name w:val="样式 172 小三"/>
    <w:next w:val="130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88">
    <w:name w:val="样式 173 小三"/>
    <w:next w:val="136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89">
    <w:name w:val="样式 174 小三"/>
    <w:next w:val="142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90">
    <w:name w:val="样式 175 小三"/>
    <w:next w:val="148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91">
    <w:name w:val="样式 176 小三"/>
    <w:next w:val="154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92">
    <w:name w:val="样式 177 小三"/>
    <w:next w:val="160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93">
    <w:name w:val="样式 178 小三"/>
    <w:next w:val="166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94">
    <w:name w:val="样式 179 小三"/>
    <w:next w:val="172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95">
    <w:name w:val="样式 180 小三"/>
    <w:next w:val="178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96">
    <w:name w:val="样式 181 小三"/>
    <w:next w:val="184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97">
    <w:name w:val="样式 182 小三"/>
    <w:next w:val="190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98">
    <w:name w:val="样式 183 小三"/>
    <w:next w:val="196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99">
    <w:name w:val="样式 184 小三"/>
    <w:next w:val="202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300">
    <w:name w:val="样式 185 小三"/>
    <w:next w:val="208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301">
    <w:name w:val="样式 186 小三"/>
    <w:next w:val="31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302">
    <w:name w:val="样式 187 小三"/>
    <w:next w:val="37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303">
    <w:name w:val="样式 188 小三"/>
    <w:next w:val="42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304">
    <w:name w:val="样式 189 小三"/>
    <w:next w:val="47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305">
    <w:name w:val="样式 190 小三"/>
    <w:next w:val="52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306">
    <w:name w:val="样式 191 小三"/>
    <w:next w:val="57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307">
    <w:name w:val="样式 192 小三"/>
    <w:next w:val="63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308">
    <w:name w:val="样式 193 小三"/>
    <w:next w:val="68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309">
    <w:name w:val="样式 194 小三"/>
    <w:next w:val="73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310">
    <w:name w:val="样式 195 小三"/>
    <w:next w:val="78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311">
    <w:name w:val="样式 196 小三"/>
    <w:next w:val="83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312">
    <w:name w:val="样式 197 小三"/>
    <w:next w:val="88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313">
    <w:name w:val="样式 198 小三"/>
    <w:next w:val="93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314">
    <w:name w:val="样式 199 小三"/>
    <w:next w:val="98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315">
    <w:name w:val="样式 200 小三"/>
    <w:next w:val="103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316">
    <w:name w:val="样式 201 小三"/>
    <w:next w:val="108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317">
    <w:name w:val="样式 202 小三"/>
    <w:next w:val="113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318">
    <w:name w:val="样式 203 小三"/>
    <w:next w:val="118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319">
    <w:name w:val="样式 204 小三"/>
    <w:next w:val="124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320">
    <w:name w:val="样式 205 小三"/>
    <w:next w:val="130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321">
    <w:name w:val="样式 206 小三"/>
    <w:next w:val="136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322">
    <w:name w:val="样式 207 小三"/>
    <w:next w:val="142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323">
    <w:name w:val="样式 208 小三"/>
    <w:next w:val="148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324">
    <w:name w:val="样式 209 小三"/>
    <w:next w:val="154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325">
    <w:name w:val="样式 210 小三"/>
    <w:next w:val="160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326">
    <w:name w:val="样式 211 小三"/>
    <w:next w:val="166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327">
    <w:name w:val="样式 212 小三"/>
    <w:next w:val="172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328">
    <w:name w:val="样式 213 小三"/>
    <w:next w:val="178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329">
    <w:name w:val="样式 214 小三"/>
    <w:next w:val="184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330">
    <w:name w:val="样式 215 小三"/>
    <w:next w:val="190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331">
    <w:name w:val="样式 216 小三"/>
    <w:next w:val="196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332">
    <w:name w:val="样式 8 三号"/>
    <w:next w:val="202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szCs w:val="20"/>
      <w:lang w:val="en-US" w:eastAsia="zh-CN" w:bidi="ar-SA"/>
    </w:rPr>
  </w:style>
  <w:style w:type="paragraph" w:customStyle="1" w:styleId="333">
    <w:name w:val="样式 13 三号"/>
    <w:next w:val="24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szCs w:val="20"/>
      <w:lang w:val="en-US" w:eastAsia="zh-CN" w:bidi="ar-SA"/>
    </w:rPr>
  </w:style>
  <w:style w:type="paragraph" w:customStyle="1" w:styleId="334">
    <w:name w:val="样式 7 三号"/>
    <w:next w:val="37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szCs w:val="20"/>
      <w:lang w:val="en-US" w:eastAsia="zh-CN" w:bidi="ar-SA"/>
    </w:rPr>
  </w:style>
  <w:style w:type="paragraph" w:customStyle="1" w:styleId="335">
    <w:name w:val="样式 1 小五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eastAsia="方正仿宋_GBK" w:cs="Times New Roman" w:hAnsi="Times New Roman"/>
      <w:kern w:val="2"/>
      <w:sz w:val="18"/>
      <w:szCs w:val="32"/>
      <w:lang w:val="en-US" w:eastAsia="zh-CN" w:bidi="ar-SA"/>
    </w:rPr>
  </w:style>
  <w:style w:type="paragraph" w:customStyle="1" w:styleId="336">
    <w:name w:val="样式 2 小五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eastAsia="方正仿宋_GBK" w:cs="Times New Roman" w:hAnsi="Times New Roman"/>
      <w:kern w:val="2"/>
      <w:sz w:val="18"/>
      <w:szCs w:val="32"/>
      <w:lang w:val="en-US" w:eastAsia="zh-CN" w:bidi="ar-SA"/>
    </w:rPr>
  </w:style>
  <w:style w:type="paragraph" w:customStyle="1" w:styleId="337">
    <w:name w:val="样式 3 小五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eastAsia="方正仿宋_GBK" w:cs="Times New Roman" w:hAnsi="Times New Roman"/>
      <w:kern w:val="2"/>
      <w:sz w:val="18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numbering" Target="numbering.xml"/><Relationship Id="rId7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0</TotalTime>
  <Application>Yozo_Office</Application>
  <Pages>7</Pages>
  <Words>2108</Words>
  <Characters>2199</Characters>
  <Lines>420</Lines>
  <Paragraphs>308</Paragraphs>
  <CharactersWithSpaces>2199</CharactersWithSpaces>
  <Company>大连海关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林戈</dc:creator>
  <cp:lastModifiedBy>林戈</cp:lastModifiedBy>
  <cp:revision>1</cp:revision>
  <dcterms:created xsi:type="dcterms:W3CDTF">2026-01-27T12:27:36Z</dcterms:created>
  <dcterms:modified xsi:type="dcterms:W3CDTF">2026-01-27T12:28:11Z</dcterms:modified>
</cp:coreProperties>
</file>